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tabs>
          <w:tab w:val="clear" w:pos="708"/>
          <w:tab w:val="left" w:pos="9639" w:leader="none"/>
        </w:tabs>
        <w:jc w:val="center"/>
        <w:rPr/>
      </w:pPr>
      <w:r>
        <w:rPr>
          <w:b/>
          <w:bCs/>
          <w:sz w:val="32"/>
          <w:szCs w:val="32"/>
        </w:rPr>
        <w:t>Доклад на августовскую конференцию 2019  года</w:t>
      </w:r>
    </w:p>
    <w:p>
      <w:pPr>
        <w:pStyle w:val="Normal"/>
        <w:tabs>
          <w:tab w:val="clear" w:pos="708"/>
          <w:tab w:val="left" w:pos="9639" w:leader="none"/>
        </w:tabs>
        <w:jc w:val="center"/>
        <w:rPr>
          <w:color w:val="CE181E"/>
          <w:sz w:val="32"/>
          <w:szCs w:val="32"/>
        </w:rPr>
      </w:pPr>
      <w:r>
        <w:rPr>
          <w:color w:val="CE181E"/>
          <w:sz w:val="32"/>
          <w:szCs w:val="32"/>
        </w:rPr>
      </w:r>
    </w:p>
    <w:p>
      <w:pPr>
        <w:pStyle w:val="Normal"/>
        <w:jc w:val="center"/>
        <w:rPr>
          <w:b/>
          <w:b/>
          <w:sz w:val="32"/>
          <w:szCs w:val="32"/>
        </w:rPr>
      </w:pPr>
      <w:r>
        <w:rPr>
          <w:b/>
          <w:sz w:val="32"/>
          <w:szCs w:val="32"/>
        </w:rPr>
        <w:t>«Достижение стратегических целей национального проекта «Образование»: задачи, механизмы и направления изменений системы образования муниципального образования</w:t>
      </w:r>
    </w:p>
    <w:p>
      <w:pPr>
        <w:pStyle w:val="Normal"/>
        <w:jc w:val="center"/>
        <w:rPr/>
      </w:pPr>
      <w:r>
        <w:rPr>
          <w:b/>
          <w:sz w:val="32"/>
          <w:szCs w:val="32"/>
        </w:rPr>
        <w:t xml:space="preserve"> </w:t>
      </w:r>
      <w:r>
        <w:rPr>
          <w:b/>
          <w:sz w:val="32"/>
          <w:szCs w:val="32"/>
        </w:rPr>
        <w:t>«Город Донецк»</w:t>
      </w:r>
    </w:p>
    <w:p>
      <w:pPr>
        <w:pStyle w:val="Normal"/>
        <w:widowControl/>
        <w:bidi w:val="0"/>
        <w:spacing w:lineRule="auto" w:line="276"/>
        <w:ind w:left="0" w:right="0" w:firstLine="680"/>
        <w:jc w:val="both"/>
        <w:rPr/>
      </w:pPr>
      <w:r>
        <w:rPr>
          <w:b w:val="false"/>
          <w:bCs w:val="false"/>
          <w:color w:val="FF0000"/>
          <w:sz w:val="28"/>
          <w:szCs w:val="28"/>
          <w:highlight w:val="yellow"/>
        </w:rPr>
        <w:t>Слайд 1)</w:t>
      </w:r>
      <w:r>
        <w:rPr>
          <w:b/>
          <w:bCs/>
          <w:sz w:val="32"/>
          <w:szCs w:val="32"/>
        </w:rPr>
        <w:t>Уважаемые коллеги!</w:t>
      </w:r>
    </w:p>
    <w:p>
      <w:pPr>
        <w:pStyle w:val="P1"/>
        <w:shd w:val="clear" w:color="auto" w:fill="FFFFFF"/>
        <w:spacing w:lineRule="auto" w:line="276" w:before="0" w:after="0"/>
        <w:ind w:firstLine="708"/>
        <w:jc w:val="both"/>
        <w:rPr/>
      </w:pPr>
      <w:r>
        <w:rPr>
          <w:sz w:val="32"/>
          <w:szCs w:val="32"/>
        </w:rPr>
        <w:t>Я рада приветствовать вас перед началом нового учебного года на традиционной августовской педагогической конференции.</w:t>
      </w:r>
    </w:p>
    <w:p>
      <w:pPr>
        <w:pStyle w:val="P1"/>
        <w:shd w:val="clear" w:color="auto" w:fill="FFFFFF"/>
        <w:spacing w:lineRule="auto" w:line="276" w:before="0" w:after="0"/>
        <w:ind w:firstLine="708"/>
        <w:jc w:val="both"/>
        <w:rPr>
          <w:sz w:val="32"/>
          <w:szCs w:val="32"/>
        </w:rPr>
      </w:pPr>
      <w:r>
        <w:rPr>
          <w:b/>
          <w:bCs/>
          <w:i w:val="false"/>
          <w:iCs w:val="false"/>
          <w:sz w:val="32"/>
          <w:szCs w:val="32"/>
        </w:rPr>
        <w:t>Коллеги!</w:t>
      </w:r>
    </w:p>
    <w:p>
      <w:pPr>
        <w:pStyle w:val="Style21"/>
        <w:spacing w:lineRule="auto" w:line="276" w:before="0" w:after="0"/>
        <w:ind w:hanging="0"/>
        <w:jc w:val="both"/>
        <w:rPr/>
      </w:pPr>
      <w:r>
        <w:rPr>
          <w:b w:val="false"/>
          <w:bCs w:val="false"/>
          <w:sz w:val="28"/>
          <w:szCs w:val="28"/>
        </w:rPr>
        <w:tab/>
      </w:r>
      <w:r>
        <w:rPr>
          <w:b w:val="false"/>
          <w:bCs w:val="false"/>
          <w:color w:val="FF0000"/>
          <w:sz w:val="28"/>
          <w:szCs w:val="28"/>
          <w:highlight w:val="yellow"/>
        </w:rPr>
        <w:t xml:space="preserve">Слайд 2) </w:t>
      </w:r>
      <w:r>
        <w:rPr>
          <w:b w:val="false"/>
          <w:bCs w:val="false"/>
          <w:sz w:val="32"/>
          <w:szCs w:val="32"/>
        </w:rPr>
        <w:t>Тема конференции 2019 года актуальна не только для всей системы образования, но и для каждого из нас, работающего в  этой сфере.</w:t>
      </w:r>
      <w:r>
        <w:rPr>
          <w:b/>
          <w:bCs/>
          <w:sz w:val="32"/>
          <w:szCs w:val="32"/>
        </w:rPr>
        <w:t xml:space="preserve"> Национальный проект «Образование»</w:t>
      </w:r>
      <w:r>
        <w:rPr>
          <w:sz w:val="32"/>
          <w:szCs w:val="32"/>
        </w:rPr>
        <w:t xml:space="preserve"> направлен, как на новые ориентиры в развитии всей системы образования, так и на повышение её нового качества. К реализации одних, мы с вами уже приступили, другие для нас являются новыми, но самое главное то, что они четко обозначают круг тех проектных направлений, которые должны быть реализованы во всех образовательных организациях. </w:t>
      </w:r>
    </w:p>
    <w:p>
      <w:pPr>
        <w:pStyle w:val="Style21"/>
        <w:spacing w:lineRule="auto" w:line="276" w:before="0" w:after="0"/>
        <w:ind w:firstLine="737"/>
        <w:jc w:val="both"/>
        <w:rPr/>
      </w:pPr>
      <w:r>
        <w:rPr>
          <w:b w:val="false"/>
          <w:bCs w:val="false"/>
          <w:color w:val="FF0000"/>
          <w:sz w:val="28"/>
          <w:szCs w:val="28"/>
          <w:highlight w:val="yellow"/>
        </w:rPr>
        <w:t xml:space="preserve">Слайд 3) </w:t>
      </w:r>
      <w:r>
        <w:rPr>
          <w:sz w:val="32"/>
          <w:szCs w:val="32"/>
        </w:rPr>
        <w:t>В рамках национального проекта «Образование» реализуется 8 региональных проектов, которые представлены на слайде.</w:t>
      </w:r>
    </w:p>
    <w:p>
      <w:pPr>
        <w:pStyle w:val="Style21"/>
        <w:spacing w:lineRule="auto" w:line="276" w:before="0" w:after="0"/>
        <w:ind w:firstLine="737"/>
        <w:jc w:val="both"/>
        <w:rPr/>
      </w:pPr>
      <w:r>
        <w:rPr>
          <w:sz w:val="32"/>
          <w:szCs w:val="32"/>
        </w:rPr>
        <w:t>Одной из задач регионального проекта «Современная школа» является обеспечение комфортных условий пребывания обучающихся в образовательных организациях.</w:t>
      </w:r>
    </w:p>
    <w:p>
      <w:pPr>
        <w:pStyle w:val="Style21"/>
        <w:spacing w:lineRule="auto" w:line="276" w:before="0" w:after="0"/>
        <w:ind w:firstLine="737"/>
        <w:jc w:val="both"/>
        <w:rPr/>
      </w:pPr>
      <w:r>
        <w:rPr>
          <w:sz w:val="32"/>
          <w:szCs w:val="32"/>
        </w:rPr>
        <w:t xml:space="preserve">На конец 2018-2019 учебного года в школах обучались 4200 школьников. Первого сентября 2019 года за школьные парты сядут 4217 школьников, среди которых 439 первоклассников. С 2019-2020 года все обучающиеся с первого по 9 классы будут обучаться по федеральным государственным образовательным стандартам начального общего и основного общего образования.  36 десятиклассников из школ №1 и №3 в рамках областной инновационной площадки в новом учебном году продолжат обучение по ФГОС среднего общего образования.  </w:t>
      </w:r>
    </w:p>
    <w:p>
      <w:pPr>
        <w:pStyle w:val="Style21"/>
        <w:spacing w:lineRule="auto" w:line="276" w:before="0" w:after="0"/>
        <w:ind w:firstLine="737"/>
        <w:jc w:val="both"/>
        <w:rPr/>
      </w:pPr>
      <w:r>
        <w:rPr>
          <w:sz w:val="32"/>
          <w:szCs w:val="32"/>
        </w:rPr>
        <w:t xml:space="preserve">В рамках реализации регионального проекта «Современная школа» 12 ноября 2018 года в нашем городе открылась новая, отвечающая всем современным требованиям, общеобразовательная организация МБОУ СОШ №18 г.Донецка, </w:t>
      </w:r>
      <w:r>
        <w:rPr>
          <w:color w:val="000000"/>
          <w:sz w:val="32"/>
          <w:szCs w:val="32"/>
        </w:rPr>
        <w:t xml:space="preserve"> </w:t>
      </w:r>
      <w:r>
        <w:rPr>
          <w:color w:val="000000"/>
          <w:sz w:val="32"/>
          <w:szCs w:val="32"/>
          <w:lang w:eastAsia="ru-RU"/>
        </w:rPr>
        <w:t>рассчитанная на обучение 600 учеников в одну смену.</w:t>
      </w:r>
    </w:p>
    <w:p>
      <w:pPr>
        <w:pStyle w:val="Style21"/>
        <w:spacing w:lineRule="auto" w:line="276" w:before="0" w:after="0"/>
        <w:ind w:firstLine="737"/>
        <w:jc w:val="both"/>
        <w:rPr/>
      </w:pPr>
      <w:r>
        <w:rPr>
          <w:sz w:val="32"/>
          <w:szCs w:val="32"/>
        </w:rPr>
        <w:t xml:space="preserve">На строительство школы из федерального бюджета было выделено более 339 мл. руб., на оснащение из федерального, областного и местного бюджетов  - более 114 млн. руб. </w:t>
      </w:r>
    </w:p>
    <w:p>
      <w:pPr>
        <w:pStyle w:val="Style21"/>
        <w:spacing w:lineRule="auto" w:line="276" w:before="0" w:after="0"/>
        <w:ind w:firstLine="737"/>
        <w:jc w:val="both"/>
        <w:rPr/>
      </w:pPr>
      <w:r>
        <w:rPr>
          <w:sz w:val="32"/>
          <w:szCs w:val="32"/>
        </w:rPr>
        <w:t xml:space="preserve">Открытие  школы позволило нам решить проблему обучения во вторую смену. В начале 2018-2019 учебного года во вторую смену в наших школах обучалось </w:t>
      </w:r>
      <w:r>
        <w:rPr>
          <w:b w:val="false"/>
          <w:bCs w:val="false"/>
          <w:sz w:val="32"/>
          <w:szCs w:val="32"/>
        </w:rPr>
        <w:t xml:space="preserve">120 </w:t>
      </w:r>
      <w:r>
        <w:rPr>
          <w:sz w:val="32"/>
          <w:szCs w:val="32"/>
        </w:rPr>
        <w:t>обучающихся начальных классов. С открытием новой школы мы эту проблему решили.</w:t>
      </w:r>
    </w:p>
    <w:p>
      <w:pPr>
        <w:pStyle w:val="P1"/>
        <w:shd w:val="clear" w:color="auto" w:fill="FFFFFF"/>
        <w:spacing w:lineRule="auto" w:line="276" w:before="0" w:after="0"/>
        <w:ind w:firstLine="709"/>
        <w:jc w:val="both"/>
        <w:rPr>
          <w:color w:val="002060"/>
        </w:rPr>
      </w:pPr>
      <w:r>
        <w:rPr>
          <w:sz w:val="32"/>
          <w:szCs w:val="32"/>
        </w:rPr>
        <w:t xml:space="preserve">Важным показателем современной школы остается качество образования. Традиционно считается: основные составляющие </w:t>
      </w:r>
      <w:r>
        <w:rPr>
          <w:b/>
          <w:sz w:val="32"/>
          <w:szCs w:val="32"/>
        </w:rPr>
        <w:t>качества школьного образования – успешность обучения и качество знаний.</w:t>
      </w:r>
    </w:p>
    <w:p>
      <w:pPr>
        <w:pStyle w:val="P1"/>
        <w:shd w:val="clear" w:color="auto" w:fill="FFFFFF"/>
        <w:spacing w:lineRule="auto" w:line="276" w:before="0" w:after="0"/>
        <w:ind w:firstLine="709"/>
        <w:jc w:val="both"/>
        <w:rPr/>
      </w:pPr>
      <w:r>
        <w:rPr>
          <w:sz w:val="32"/>
          <w:szCs w:val="32"/>
        </w:rPr>
        <w:t xml:space="preserve">Итог 2018-2019 учебного года – успеваемость – 99 % (на уровне прошлого года), качество знаний – 46,4 %, что на 0,7% </w:t>
      </w:r>
      <w:r>
        <w:rPr>
          <w:sz w:val="32"/>
          <w:szCs w:val="32"/>
          <w:u w:val="single"/>
        </w:rPr>
        <w:t>выше</w:t>
      </w:r>
      <w:r>
        <w:rPr>
          <w:sz w:val="32"/>
          <w:szCs w:val="32"/>
        </w:rPr>
        <w:t xml:space="preserve"> уровня прошлого года. </w:t>
      </w:r>
      <w:bookmarkStart w:id="0" w:name="_GoBack"/>
      <w:bookmarkEnd w:id="0"/>
    </w:p>
    <w:p>
      <w:pPr>
        <w:pStyle w:val="P1"/>
        <w:shd w:val="clear" w:color="auto" w:fill="FFFFFF"/>
        <w:spacing w:lineRule="auto" w:line="276" w:before="0" w:after="0"/>
        <w:ind w:firstLine="709"/>
        <w:jc w:val="both"/>
        <w:rPr>
          <w:color w:val="002060"/>
          <w:sz w:val="32"/>
          <w:szCs w:val="32"/>
        </w:rPr>
      </w:pPr>
      <w:r>
        <w:rPr>
          <w:sz w:val="32"/>
          <w:szCs w:val="32"/>
        </w:rPr>
        <w:t>На протяжении нескольких лет лидирующую позицию в достижении качества знаний занимают одни и те же образовательные организации - это МБОУ СОШ №4 и МБОУ гимназия  №12.</w:t>
      </w:r>
    </w:p>
    <w:p>
      <w:pPr>
        <w:pStyle w:val="P1"/>
        <w:shd w:val="clear" w:color="auto" w:fill="FFFFFF"/>
        <w:spacing w:lineRule="auto" w:line="276" w:before="0" w:after="0"/>
        <w:ind w:firstLine="709"/>
        <w:jc w:val="both"/>
        <w:rPr>
          <w:color w:val="002060"/>
          <w:sz w:val="32"/>
          <w:szCs w:val="32"/>
        </w:rPr>
      </w:pPr>
      <w:r>
        <w:rPr>
          <w:sz w:val="32"/>
          <w:szCs w:val="32"/>
        </w:rPr>
        <w:t>По результатам 2018-2019 учебного года тройка лидеров по достижению качества образования выглядит следующим образом:</w:t>
      </w:r>
    </w:p>
    <w:p>
      <w:pPr>
        <w:pStyle w:val="P1"/>
        <w:shd w:val="clear" w:color="auto" w:fill="FFFFFF"/>
        <w:spacing w:lineRule="auto" w:line="276" w:before="0" w:after="0"/>
        <w:ind w:firstLine="709"/>
        <w:jc w:val="both"/>
        <w:rPr>
          <w:color w:val="002060"/>
          <w:sz w:val="32"/>
          <w:szCs w:val="32"/>
        </w:rPr>
      </w:pPr>
      <w:r>
        <w:rPr>
          <w:sz w:val="32"/>
          <w:szCs w:val="32"/>
        </w:rPr>
        <w:t>на первом месте гимназия №12 – 55,5%</w:t>
      </w:r>
    </w:p>
    <w:p>
      <w:pPr>
        <w:pStyle w:val="P1"/>
        <w:shd w:val="clear" w:color="auto" w:fill="FFFFFF"/>
        <w:spacing w:lineRule="auto" w:line="276" w:before="0" w:after="0"/>
        <w:ind w:firstLine="709"/>
        <w:jc w:val="both"/>
        <w:rPr>
          <w:color w:val="002060"/>
          <w:sz w:val="32"/>
          <w:szCs w:val="32"/>
        </w:rPr>
      </w:pPr>
      <w:r>
        <w:rPr>
          <w:sz w:val="32"/>
          <w:szCs w:val="32"/>
        </w:rPr>
        <w:t>на втором месте школа №4 – 51,5%</w:t>
      </w:r>
    </w:p>
    <w:p>
      <w:pPr>
        <w:pStyle w:val="P1"/>
        <w:shd w:val="clear" w:color="auto" w:fill="FFFFFF"/>
        <w:spacing w:lineRule="auto" w:line="276" w:before="0" w:after="0"/>
        <w:ind w:firstLine="709"/>
        <w:jc w:val="both"/>
        <w:rPr>
          <w:color w:val="002060"/>
        </w:rPr>
      </w:pPr>
      <w:r>
        <w:rPr>
          <w:sz w:val="32"/>
          <w:szCs w:val="32"/>
        </w:rPr>
        <w:t>на третьем месте школа №3 –49%.</w:t>
      </w:r>
    </w:p>
    <w:p>
      <w:pPr>
        <w:pStyle w:val="P1"/>
        <w:shd w:val="clear" w:color="auto" w:fill="FFFFFF"/>
        <w:spacing w:lineRule="auto" w:line="276" w:before="0" w:after="0"/>
        <w:jc w:val="both"/>
        <w:rPr/>
      </w:pPr>
      <w:r>
        <w:rPr>
          <w:sz w:val="32"/>
          <w:szCs w:val="32"/>
        </w:rPr>
        <w:tab/>
        <w:t>Сегодня  широко используются процедуры внешней оценки качества образования. Это и независимая оценка качества образования, это и региональная оценка качества образования, это и всероссийские проверочные работы, в которых принимали участие все обучающиеся 4-7 классов, а это 1698 человек.</w:t>
      </w:r>
    </w:p>
    <w:p>
      <w:pPr>
        <w:pStyle w:val="P1"/>
        <w:shd w:val="clear" w:color="auto" w:fill="FFFFFF"/>
        <w:spacing w:lineRule="auto" w:line="276" w:before="0" w:after="0"/>
        <w:ind w:firstLine="709"/>
        <w:jc w:val="both"/>
        <w:rPr/>
      </w:pPr>
      <w:r>
        <w:rPr>
          <w:sz w:val="32"/>
          <w:szCs w:val="32"/>
        </w:rPr>
        <w:t>Третий год подряд обучающиеся 11 классов, несмотря на напряженный период подготовки к сдаче ЕГЭ, принимают участие во Всероссийских проверочных работах. Так, весной 2019 года, 190 выпускников   школ № 1,2,3,4,12,18,20 участвовали в ВПР по физике, английскому языку,  химии.</w:t>
      </w:r>
    </w:p>
    <w:p>
      <w:pPr>
        <w:pStyle w:val="Normal"/>
        <w:spacing w:lineRule="auto" w:line="276"/>
        <w:ind w:firstLine="708"/>
        <w:jc w:val="both"/>
        <w:rPr/>
      </w:pPr>
      <w:r>
        <w:rPr>
          <w:sz w:val="32"/>
          <w:szCs w:val="32"/>
        </w:rPr>
        <w:t xml:space="preserve"> </w:t>
      </w:r>
      <w:r>
        <w:rPr>
          <w:sz w:val="32"/>
          <w:szCs w:val="32"/>
        </w:rPr>
        <w:t>Результаты ВПР должны быть использованы образовательными организациями для совершенствования методики преподавания соответствующего предмета в школе.</w:t>
      </w:r>
    </w:p>
    <w:p>
      <w:pPr>
        <w:pStyle w:val="Normal"/>
        <w:spacing w:lineRule="auto" w:line="276"/>
        <w:ind w:firstLine="708"/>
        <w:jc w:val="both"/>
        <w:rPr/>
      </w:pPr>
      <w:r>
        <w:rPr>
          <w:sz w:val="32"/>
          <w:szCs w:val="32"/>
        </w:rPr>
        <w:t>В 2019 году в списке образовательных организаций с необъективными результатами ВПР нет школ города Донецка. Спасибо за работу, коллеги.</w:t>
      </w:r>
    </w:p>
    <w:p>
      <w:pPr>
        <w:pStyle w:val="Normal"/>
        <w:shd w:val="clear" w:color="auto" w:fill="FAFAFB"/>
        <w:spacing w:lineRule="auto" w:line="276"/>
        <w:ind w:firstLine="708"/>
        <w:jc w:val="both"/>
        <w:rPr/>
      </w:pPr>
      <w:r>
        <w:rPr>
          <w:sz w:val="32"/>
          <w:szCs w:val="32"/>
          <w:lang w:eastAsia="ru-RU"/>
        </w:rPr>
        <w:t xml:space="preserve">Основной период </w:t>
      </w:r>
      <w:r>
        <w:rPr>
          <w:b/>
          <w:bCs/>
          <w:sz w:val="32"/>
          <w:szCs w:val="32"/>
          <w:lang w:eastAsia="ru-RU"/>
        </w:rPr>
        <w:t>государственной итоговой аттестации 2019</w:t>
      </w:r>
      <w:r>
        <w:rPr>
          <w:sz w:val="32"/>
          <w:szCs w:val="32"/>
          <w:lang w:eastAsia="ru-RU"/>
        </w:rPr>
        <w:t xml:space="preserve"> года завершен.</w:t>
      </w:r>
    </w:p>
    <w:p>
      <w:pPr>
        <w:pStyle w:val="Normal"/>
        <w:shd w:val="clear" w:color="auto" w:fill="FAFAFB"/>
        <w:spacing w:lineRule="auto" w:line="276"/>
        <w:ind w:firstLine="708"/>
        <w:jc w:val="both"/>
        <w:rPr>
          <w:color w:val="2A6099"/>
        </w:rPr>
      </w:pPr>
      <w:bookmarkStart w:id="1" w:name="__DdeLink__2661_685754328"/>
      <w:r>
        <w:rPr>
          <w:sz w:val="32"/>
          <w:szCs w:val="32"/>
          <w:lang w:eastAsia="ru-RU"/>
        </w:rPr>
        <w:t>Самым значительным изменением в механизме сдачи экзаменов для девятиклассников стало введение в штатный режим итогового собеседования по русскому языку – как условия допуска к государственной итоговой аттестации. Все выпускники 9 классов 2019 года успешно справились с итоговым собеседованием, получив «зачет».</w:t>
      </w:r>
      <w:bookmarkEnd w:id="1"/>
    </w:p>
    <w:p>
      <w:pPr>
        <w:pStyle w:val="P1"/>
        <w:shd w:val="clear" w:color="auto" w:fill="FFFFFF"/>
        <w:spacing w:lineRule="auto" w:line="276" w:before="0" w:after="0"/>
        <w:ind w:firstLine="709"/>
        <w:jc w:val="both"/>
        <w:rPr>
          <w:color w:val="2A6099"/>
        </w:rPr>
      </w:pPr>
      <w:r>
        <w:rPr>
          <w:sz w:val="32"/>
          <w:szCs w:val="32"/>
        </w:rPr>
        <w:t xml:space="preserve">В 2019 году в Региональную базу данных внесены 382 обучающихся 9-х классов. 1 обучающийся  не допущен к ГИА-9, т.к. в течение всего учебного года находился на длительном лечении и не освоил программу основного общего образования. </w:t>
      </w:r>
    </w:p>
    <w:p>
      <w:pPr>
        <w:pStyle w:val="P1"/>
        <w:shd w:val="clear" w:color="auto" w:fill="FFFFFF"/>
        <w:spacing w:lineRule="auto" w:line="276" w:before="0" w:after="0"/>
        <w:ind w:firstLine="709"/>
        <w:jc w:val="both"/>
        <w:rPr>
          <w:color w:val="2A6099"/>
        </w:rPr>
      </w:pPr>
      <w:r>
        <w:rPr>
          <w:sz w:val="32"/>
          <w:szCs w:val="32"/>
        </w:rPr>
        <w:t>Таким образом, к ГИА-9 допущен 381 человек, из них: 354 чел. в форме ОГЭ, 27 чел. в форме ГВЭ.</w:t>
        <w:tab/>
      </w:r>
    </w:p>
    <w:p>
      <w:pPr>
        <w:pStyle w:val="Normal"/>
        <w:spacing w:lineRule="auto" w:line="276"/>
        <w:ind w:firstLine="567"/>
        <w:jc w:val="both"/>
        <w:rPr>
          <w:color w:val="2A6099"/>
        </w:rPr>
      </w:pPr>
      <w:r>
        <w:rPr>
          <w:sz w:val="32"/>
          <w:szCs w:val="32"/>
        </w:rPr>
        <w:t>Наибольшей популярностью среди предметов по выбору в 2019 году, также как предыдущие два года стали: обществознание – 79,9% география – 42,1%;  биология – 25,1%.</w:t>
      </w:r>
    </w:p>
    <w:p>
      <w:pPr>
        <w:pStyle w:val="Normal"/>
        <w:spacing w:lineRule="auto" w:line="276"/>
        <w:ind w:firstLine="567"/>
        <w:jc w:val="both"/>
        <w:rPr>
          <w:color w:val="2A6099"/>
        </w:rPr>
      </w:pPr>
      <w:r>
        <w:rPr>
          <w:sz w:val="32"/>
          <w:szCs w:val="32"/>
        </w:rPr>
        <w:t>Наилучшие результаты выпускники  2019 года показали по литературе и истории, английскому языку, химии. На «4» и «5» экзамены соответственно сдали 100%, 83,3%, 75,6% обучающихся. Эти показатели говорят о том, что к выбору вышеуказанных предметов обучающиеся подошли более осознанно и вели подготовку не один год. Количество выпускников, выбирающих вышеуказанные предметы незначительно, в сравнении с другими предметами по выбору.</w:t>
      </w:r>
    </w:p>
    <w:p>
      <w:pPr>
        <w:pStyle w:val="Normal"/>
        <w:spacing w:lineRule="auto" w:line="276"/>
        <w:ind w:firstLine="567"/>
        <w:jc w:val="both"/>
        <w:rPr>
          <w:color w:val="2A6099"/>
        </w:rPr>
      </w:pPr>
      <w:r>
        <w:rPr>
          <w:sz w:val="32"/>
          <w:szCs w:val="32"/>
        </w:rPr>
        <w:t>А результаты по таким  предметам как биология и физика значительно ниже. На «4» и «5» экзамены соответственно сдали  только 30,3% и 41,3% обучающихся.</w:t>
      </w:r>
    </w:p>
    <w:p>
      <w:pPr>
        <w:pStyle w:val="Normal"/>
        <w:spacing w:lineRule="auto" w:line="276"/>
        <w:ind w:firstLine="567"/>
        <w:jc w:val="both"/>
        <w:rPr/>
      </w:pPr>
      <w:r>
        <w:rPr>
          <w:sz w:val="32"/>
          <w:szCs w:val="32"/>
        </w:rPr>
        <w:t xml:space="preserve">Хочется более детально остановиться на результатах по каждому предмету в отдельности в сравнении с 2018 годом. На слайдах, также представлены результаты 2017 года. </w:t>
      </w:r>
    </w:p>
    <w:p>
      <w:pPr>
        <w:pStyle w:val="Normal"/>
        <w:spacing w:lineRule="auto" w:line="276"/>
        <w:ind w:firstLine="567"/>
        <w:jc w:val="both"/>
        <w:rPr/>
      </w:pPr>
      <w:r>
        <w:rPr>
          <w:color w:val="000000"/>
          <w:sz w:val="32"/>
          <w:szCs w:val="32"/>
        </w:rPr>
        <w:t>Средняя оценка по русскому языку по городу 3,86 , наибольшая средняя оценка 4,46.</w:t>
      </w:r>
    </w:p>
    <w:p>
      <w:pPr>
        <w:pStyle w:val="Normal"/>
        <w:spacing w:lineRule="auto" w:line="276"/>
        <w:ind w:firstLine="567"/>
        <w:jc w:val="both"/>
        <w:rPr/>
      </w:pPr>
      <w:r>
        <w:rPr>
          <w:color w:val="000000"/>
          <w:sz w:val="32"/>
          <w:szCs w:val="32"/>
        </w:rPr>
        <w:t>Средняя оценка по математике 3, наибольшая средняя оценка 4,15.</w:t>
      </w:r>
    </w:p>
    <w:p>
      <w:pPr>
        <w:pStyle w:val="Normal"/>
        <w:spacing w:lineRule="auto" w:line="276"/>
        <w:ind w:firstLine="567"/>
        <w:jc w:val="both"/>
        <w:rPr/>
      </w:pPr>
      <w:r>
        <w:rPr>
          <w:color w:val="000000"/>
          <w:sz w:val="32"/>
          <w:szCs w:val="32"/>
        </w:rPr>
        <w:t>Средняя оценка по физике 3,43, наибольшая средняя оценка 4,0.</w:t>
      </w:r>
    </w:p>
    <w:p>
      <w:pPr>
        <w:pStyle w:val="Normal"/>
        <w:spacing w:lineRule="auto" w:line="276"/>
        <w:ind w:firstLine="567"/>
        <w:jc w:val="both"/>
        <w:rPr/>
      </w:pPr>
      <w:r>
        <w:rPr>
          <w:color w:val="000000"/>
          <w:sz w:val="32"/>
          <w:szCs w:val="32"/>
        </w:rPr>
        <w:t>Средняя оценка по химии 4,07, наибольшая средняя оценка 4,67.</w:t>
      </w:r>
    </w:p>
    <w:p>
      <w:pPr>
        <w:pStyle w:val="Normal"/>
        <w:spacing w:lineRule="auto" w:line="276"/>
        <w:ind w:firstLine="567"/>
        <w:jc w:val="both"/>
        <w:rPr/>
      </w:pPr>
      <w:r>
        <w:rPr>
          <w:color w:val="000000"/>
          <w:sz w:val="32"/>
          <w:szCs w:val="32"/>
        </w:rPr>
        <w:t>Средняя оценка по информатике 3,8, наибольшая средняя оценка 4,25.</w:t>
      </w:r>
    </w:p>
    <w:p>
      <w:pPr>
        <w:pStyle w:val="Normal"/>
        <w:spacing w:lineRule="auto" w:line="276"/>
        <w:ind w:firstLine="567"/>
        <w:jc w:val="both"/>
        <w:rPr/>
      </w:pPr>
      <w:r>
        <w:rPr>
          <w:color w:val="000000"/>
          <w:sz w:val="32"/>
          <w:szCs w:val="32"/>
        </w:rPr>
        <w:t>Средняя оценка по биологии 3,33, наибольшая средняя оценка 3,67.</w:t>
      </w:r>
    </w:p>
    <w:p>
      <w:pPr>
        <w:pStyle w:val="Normal"/>
        <w:spacing w:lineRule="auto" w:line="276"/>
        <w:ind w:firstLine="567"/>
        <w:jc w:val="both"/>
        <w:rPr/>
      </w:pPr>
      <w:r>
        <w:rPr>
          <w:color w:val="000000"/>
          <w:sz w:val="32"/>
          <w:szCs w:val="32"/>
        </w:rPr>
        <w:t>Средняя оценка по географии 3,77, наибольшая средняя оценка 4,2.</w:t>
      </w:r>
      <w:bookmarkStart w:id="2" w:name="_GoBack11"/>
      <w:bookmarkEnd w:id="2"/>
    </w:p>
    <w:p>
      <w:pPr>
        <w:pStyle w:val="Normal"/>
        <w:spacing w:lineRule="auto" w:line="276"/>
        <w:ind w:firstLine="567"/>
        <w:jc w:val="both"/>
        <w:rPr/>
      </w:pPr>
      <w:r>
        <w:rPr>
          <w:color w:val="000000"/>
          <w:sz w:val="32"/>
          <w:szCs w:val="32"/>
        </w:rPr>
        <w:t>Средняя оценка по обществознанию 3,59, наибольшая средняя оценка 4,05.</w:t>
      </w:r>
    </w:p>
    <w:p>
      <w:pPr>
        <w:pStyle w:val="Normal"/>
        <w:spacing w:lineRule="auto" w:line="276"/>
        <w:ind w:firstLine="567"/>
        <w:jc w:val="both"/>
        <w:rPr/>
      </w:pPr>
      <w:r>
        <w:rPr>
          <w:color w:val="000000"/>
          <w:sz w:val="32"/>
          <w:szCs w:val="32"/>
        </w:rPr>
        <w:t>Средняя оценка по истории 4,25, наибольшая средняя оценка 5.</w:t>
      </w:r>
    </w:p>
    <w:p>
      <w:pPr>
        <w:pStyle w:val="Normal"/>
        <w:spacing w:lineRule="auto" w:line="276"/>
        <w:ind w:firstLine="567"/>
        <w:jc w:val="both"/>
        <w:rPr/>
      </w:pPr>
      <w:r>
        <w:rPr>
          <w:color w:val="000000"/>
          <w:sz w:val="32"/>
          <w:szCs w:val="32"/>
        </w:rPr>
        <w:t>Средняя оценка по литературе  3,5, наибольшая средняя оценка 4.</w:t>
      </w:r>
    </w:p>
    <w:p>
      <w:pPr>
        <w:pStyle w:val="Normal"/>
        <w:spacing w:lineRule="auto" w:line="276"/>
        <w:ind w:firstLine="567"/>
        <w:jc w:val="both"/>
        <w:rPr/>
      </w:pPr>
      <w:r>
        <w:rPr>
          <w:color w:val="000000"/>
          <w:sz w:val="32"/>
          <w:szCs w:val="32"/>
        </w:rPr>
        <w:t>Средняя оценка по английскому языку  4,17, наибольшая средняя оценка 5.</w:t>
      </w:r>
    </w:p>
    <w:p>
      <w:pPr>
        <w:pStyle w:val="Normal"/>
        <w:spacing w:lineRule="auto" w:line="276"/>
        <w:ind w:firstLine="567"/>
        <w:jc w:val="both"/>
        <w:rPr>
          <w:color w:val="2A6099"/>
        </w:rPr>
      </w:pPr>
      <w:r>
        <w:rPr>
          <w:sz w:val="32"/>
          <w:szCs w:val="32"/>
        </w:rPr>
        <w:t>По итогам четырех  экзаменов (русский язык, математика, два предмета по выбору) для участников в форме ОГЭ и двух экзаменов  для участников в форме ГВЭ 370 выпускников получили аттестаты об основном общем образовании, что составляет 97,1%/ 2018 г.- 97,6%.</w:t>
      </w:r>
    </w:p>
    <w:p>
      <w:pPr>
        <w:pStyle w:val="Normal"/>
        <w:spacing w:lineRule="auto" w:line="276"/>
        <w:ind w:firstLine="567"/>
        <w:jc w:val="both"/>
        <w:rPr>
          <w:color w:val="2A6099"/>
        </w:rPr>
      </w:pPr>
      <w:r>
        <w:rPr>
          <w:sz w:val="32"/>
          <w:szCs w:val="32"/>
        </w:rPr>
        <w:t xml:space="preserve">11 выпускников (СОШ №3 - 1 чел.;  СОШ №5 – 2 чел.; СОШ №7 – 1 чел.; гимназия №12 – 3 чел., СОШ №13 – 4 чел.),  получивших неудовлетворительный  результат в основной период, будут сдавать экзамены в дополнительный период  в сентябре 2019 г.  </w:t>
      </w:r>
    </w:p>
    <w:p>
      <w:pPr>
        <w:pStyle w:val="Normal"/>
        <w:spacing w:lineRule="auto" w:line="276"/>
        <w:ind w:firstLine="567"/>
        <w:jc w:val="both"/>
        <w:rPr/>
      </w:pPr>
      <w:r>
        <w:rPr>
          <w:sz w:val="32"/>
          <w:szCs w:val="32"/>
        </w:rPr>
        <w:t>Хочется обратить внимание, что  условия для получения аттестата изменились, усилился контроль со стороны надзорных органов, поэтому необходимо пересмотреть подходы подготовки обучающихся 9 классов к государственной итоговой аттестации: проанализировать результаты экзаменов  2019 года;  составить план подготовки выпускников к итоговой аттестации в 2019-2020 учебном году с учетом результатов выполняемости заданий 2019 года;  на заседаниях методических объединений рассмотреть детально нормативно-правовые, организационные, содержательные особенности экзаменов; обсудить выполняемость заданий с позиции критериев оценивания работ выпускников.</w:t>
      </w:r>
    </w:p>
    <w:p>
      <w:pPr>
        <w:pStyle w:val="Normal"/>
        <w:spacing w:lineRule="auto" w:line="276"/>
        <w:ind w:firstLine="567"/>
        <w:jc w:val="both"/>
        <w:rPr/>
      </w:pPr>
      <w:r>
        <w:rPr>
          <w:sz w:val="32"/>
          <w:szCs w:val="32"/>
        </w:rPr>
        <w:t xml:space="preserve">Порядок проведения государственной итоговой аттестации по образовательным программам среднего общего образования в 2019 претерпел серьезные изменения. Теперь выпускники не имеют права сдавать ЕГЭ по математике базового и профильного уровней.  До 1 февраля одиннадцатиклассники должны были определиться с уровнем сдачи ЕГЭ по математике. </w:t>
      </w:r>
    </w:p>
    <w:p>
      <w:pPr>
        <w:pStyle w:val="Normal"/>
        <w:spacing w:lineRule="auto" w:line="276"/>
        <w:ind w:firstLine="567"/>
        <w:jc w:val="both"/>
        <w:rPr>
          <w:color w:val="002060"/>
          <w:sz w:val="32"/>
          <w:szCs w:val="32"/>
        </w:rPr>
      </w:pPr>
      <w:r>
        <w:rPr>
          <w:sz w:val="32"/>
          <w:szCs w:val="32"/>
        </w:rPr>
        <w:t>В 2019 году общее количество выпускников общеобразовательных организаций - участников основного этапа ЕГЭ составило 190 человек.</w:t>
      </w:r>
    </w:p>
    <w:p>
      <w:pPr>
        <w:pStyle w:val="Normal"/>
        <w:spacing w:lineRule="auto" w:line="276"/>
        <w:ind w:firstLine="567"/>
        <w:jc w:val="both"/>
        <w:rPr>
          <w:color w:val="002060"/>
          <w:sz w:val="32"/>
          <w:szCs w:val="32"/>
        </w:rPr>
      </w:pPr>
      <w:r>
        <w:rPr>
          <w:sz w:val="32"/>
          <w:szCs w:val="32"/>
        </w:rPr>
        <w:t xml:space="preserve"> </w:t>
      </w:r>
      <w:r>
        <w:rPr>
          <w:sz w:val="32"/>
          <w:szCs w:val="32"/>
        </w:rPr>
        <w:t>Из года в год наибольшее количество выпускников выбирают для сдачи ЕГЭ математику профильную – 60% всех выпускников,  обществознание – 54%, физику – 34%, биологию – 19%, химию – 14%, информатику – 11%. Остальные предметы в 2019 году выбрали менее 10% выпускников.</w:t>
      </w:r>
    </w:p>
    <w:p>
      <w:pPr>
        <w:pStyle w:val="Normal"/>
        <w:spacing w:lineRule="auto" w:line="276"/>
        <w:ind w:firstLine="567"/>
        <w:jc w:val="both"/>
        <w:rPr>
          <w:color w:val="002060"/>
        </w:rPr>
      </w:pPr>
      <w:r>
        <w:rPr>
          <w:sz w:val="32"/>
          <w:szCs w:val="32"/>
        </w:rPr>
        <w:t xml:space="preserve">Хочу заметить, что результаты </w:t>
      </w:r>
      <w:r>
        <w:rPr>
          <w:b/>
          <w:sz w:val="32"/>
          <w:szCs w:val="32"/>
        </w:rPr>
        <w:t>единого государственного экзамена</w:t>
      </w:r>
      <w:r>
        <w:rPr>
          <w:sz w:val="32"/>
          <w:szCs w:val="32"/>
        </w:rPr>
        <w:t xml:space="preserve"> 2019 года по некоторым параметрам и предметам хуже прошлогодних. </w:t>
      </w:r>
    </w:p>
    <w:p>
      <w:pPr>
        <w:pStyle w:val="Normal"/>
        <w:spacing w:lineRule="auto" w:line="276"/>
        <w:ind w:firstLine="567"/>
        <w:jc w:val="both"/>
        <w:rPr>
          <w:color w:val="002060"/>
          <w:sz w:val="32"/>
          <w:szCs w:val="32"/>
        </w:rPr>
      </w:pPr>
      <w:r>
        <w:rPr>
          <w:sz w:val="32"/>
          <w:szCs w:val="32"/>
        </w:rPr>
        <w:t xml:space="preserve">Средние тестовые баллы, набранные выпускниками школ города в нынешнем году, ниже прошлогодних по 5 предметам (по химии, физике, обществознанию и информатике, географии). Наилучшие результаты выпускники показали по таким предметам, как  </w:t>
      </w:r>
    </w:p>
    <w:p>
      <w:pPr>
        <w:pStyle w:val="Normal"/>
        <w:spacing w:lineRule="auto" w:line="276"/>
        <w:ind w:firstLine="567"/>
        <w:jc w:val="both"/>
        <w:rPr>
          <w:color w:val="002060"/>
          <w:sz w:val="32"/>
          <w:szCs w:val="32"/>
        </w:rPr>
      </w:pPr>
      <w:r>
        <w:rPr>
          <w:sz w:val="32"/>
          <w:szCs w:val="32"/>
        </w:rPr>
        <w:t>русский язык – средний балл – 67, максимальный балл – 98;</w:t>
      </w:r>
    </w:p>
    <w:p>
      <w:pPr>
        <w:pStyle w:val="Normal"/>
        <w:spacing w:lineRule="auto" w:line="276"/>
        <w:ind w:firstLine="567"/>
        <w:jc w:val="both"/>
        <w:rPr>
          <w:color w:val="002060"/>
          <w:sz w:val="32"/>
          <w:szCs w:val="32"/>
        </w:rPr>
      </w:pPr>
      <w:r>
        <w:rPr>
          <w:sz w:val="32"/>
          <w:szCs w:val="32"/>
        </w:rPr>
        <w:t>математика профильная - средний балл – 51, максимальный – 88;</w:t>
      </w:r>
    </w:p>
    <w:p>
      <w:pPr>
        <w:pStyle w:val="Normal"/>
        <w:spacing w:lineRule="auto" w:line="276"/>
        <w:ind w:firstLine="567"/>
        <w:jc w:val="both"/>
        <w:rPr>
          <w:color w:val="002060"/>
          <w:sz w:val="32"/>
          <w:szCs w:val="32"/>
        </w:rPr>
      </w:pPr>
      <w:r>
        <w:rPr>
          <w:sz w:val="32"/>
          <w:szCs w:val="32"/>
        </w:rPr>
        <w:t>литература - средний балл – 56, максимальный – 73;</w:t>
      </w:r>
    </w:p>
    <w:p>
      <w:pPr>
        <w:pStyle w:val="Normal"/>
        <w:spacing w:lineRule="auto" w:line="276"/>
        <w:ind w:firstLine="567"/>
        <w:jc w:val="both"/>
        <w:rPr>
          <w:color w:val="002060"/>
          <w:sz w:val="32"/>
          <w:szCs w:val="32"/>
        </w:rPr>
      </w:pPr>
      <w:r>
        <w:rPr>
          <w:sz w:val="32"/>
          <w:szCs w:val="32"/>
        </w:rPr>
        <w:t>история – средний балл - 55, максимальный – 98;</w:t>
      </w:r>
    </w:p>
    <w:p>
      <w:pPr>
        <w:pStyle w:val="Normal"/>
        <w:spacing w:lineRule="auto" w:line="276"/>
        <w:ind w:firstLine="567"/>
        <w:jc w:val="both"/>
        <w:rPr>
          <w:color w:val="002060"/>
          <w:sz w:val="32"/>
          <w:szCs w:val="32"/>
        </w:rPr>
      </w:pPr>
      <w:r>
        <w:rPr>
          <w:sz w:val="32"/>
          <w:szCs w:val="32"/>
        </w:rPr>
        <w:t>биология - средний балл – 50, максимальный – 77.</w:t>
      </w:r>
    </w:p>
    <w:p>
      <w:pPr>
        <w:pStyle w:val="Normal"/>
        <w:spacing w:lineRule="auto" w:line="276"/>
        <w:ind w:firstLine="567"/>
        <w:jc w:val="both"/>
        <w:rPr>
          <w:color w:val="002060"/>
        </w:rPr>
      </w:pPr>
      <w:r>
        <w:rPr>
          <w:sz w:val="32"/>
          <w:szCs w:val="32"/>
        </w:rPr>
        <w:t>Число выпускников, не преодолевших минимальный порог по ЕГЭ  по всем предметам 56 человек (29%), в прошлом году 46 (31%).</w:t>
      </w:r>
    </w:p>
    <w:p>
      <w:pPr>
        <w:pStyle w:val="Normal"/>
        <w:spacing w:lineRule="auto" w:line="276"/>
        <w:ind w:firstLine="567"/>
        <w:jc w:val="both"/>
        <w:rPr/>
      </w:pPr>
      <w:r>
        <w:rPr>
          <w:sz w:val="32"/>
          <w:szCs w:val="32"/>
        </w:rPr>
        <w:t>Количество участников ЕГЭ, набравших 80 и более баллов (высокобалльников) 35 человек (18%), что на 12%!!!! хуже результата прошлого года. К сожалению, в 2019 году мы не можем похвастаться и наличием стобалльников.</w:t>
      </w:r>
    </w:p>
    <w:p>
      <w:pPr>
        <w:pStyle w:val="Normal"/>
        <w:spacing w:lineRule="auto" w:line="276"/>
        <w:ind w:firstLine="567"/>
        <w:jc w:val="both"/>
        <w:rPr/>
      </w:pPr>
      <w:r>
        <w:rPr>
          <w:sz w:val="32"/>
          <w:szCs w:val="32"/>
        </w:rPr>
        <w:t xml:space="preserve">Как вы знаете для проведения ЕГЭ в Донецке ежегодно открываются два пункта проведения экзаменов, расположенные на базе гимназии №12 и школы №20. Тщательная подготовка пункта и качественное проведение экзаменов – это труд и ответственность работников временных коллективов, где каждому отведена определенная роль и зона ответственности. Контроль за проведением государственной итоговой аттестации ужесточается из года в год, и мне хочется сказать слова благодарности нашим педагогам, благодаря которым на протяжении многих лет государственная итоговая аттестация в Донецке проходит без нарушений и сбоев. </w:t>
      </w:r>
    </w:p>
    <w:p>
      <w:pPr>
        <w:pStyle w:val="Normal"/>
        <w:spacing w:lineRule="auto" w:line="276"/>
        <w:ind w:firstLine="567"/>
        <w:jc w:val="both"/>
        <w:rPr>
          <w:color w:val="002060"/>
        </w:rPr>
      </w:pPr>
      <w:r>
        <w:rPr>
          <w:sz w:val="32"/>
          <w:szCs w:val="32"/>
        </w:rPr>
        <w:t>Государственная итоговая аттестация показала необходимость перестройки системы подготовки обучающихся к экзаменам, а именно: более качественную системную работу с родителями, работу по повышению мотивации обучающихся. Начинать эту работу нужно с начальных классов. Именно здесь закладываются основы для успешного обучения. Надеюсь, что каждый педагог проведет глубокий анализ результатов единого государственного экзамена, скорректирует работу для качественной подготовки выпускников к сдаче ЕГЭ в 2020 году.</w:t>
      </w:r>
    </w:p>
    <w:p>
      <w:pPr>
        <w:pStyle w:val="Normal"/>
        <w:spacing w:lineRule="auto" w:line="276"/>
        <w:ind w:firstLine="567"/>
        <w:jc w:val="both"/>
        <w:rPr>
          <w:color w:val="002060"/>
          <w:sz w:val="32"/>
          <w:szCs w:val="32"/>
        </w:rPr>
      </w:pPr>
      <w:r>
        <w:rPr>
          <w:sz w:val="32"/>
          <w:szCs w:val="32"/>
        </w:rPr>
        <w:t>В прошедшем учебном году изменения произошли не только в порядке проведения государственной итоговой аттестации, но и в порядке выдачи аттестатов с отличием и медали «За особые успехи в учении».</w:t>
      </w:r>
    </w:p>
    <w:p>
      <w:pPr>
        <w:pStyle w:val="Normal"/>
        <w:spacing w:lineRule="auto" w:line="276"/>
        <w:ind w:firstLine="567"/>
        <w:jc w:val="both"/>
        <w:rPr>
          <w:color w:val="002060"/>
          <w:sz w:val="32"/>
          <w:szCs w:val="32"/>
        </w:rPr>
      </w:pPr>
      <w:r>
        <w:rPr>
          <w:sz w:val="32"/>
          <w:szCs w:val="32"/>
        </w:rPr>
        <w:t xml:space="preserve">С 2019 года аттестат о среднем общем образовании с отличием  выдается выпускникам 11 класса, завершившим обучение по образовательным программам среднего общего образования, имеющим итоговые отметки «отлично» по всем учебным предметам учебного плана, изучавшимся на уровне среднего общего образования, успешно прошедшим государственную итоговую аттестацию и набравшим не менее 70 баллов на ЕГЭ соответственно по русскому языку и математике профильного уровня или 5 баллов на ЕГЭ по математике базового уровня. </w:t>
      </w:r>
    </w:p>
    <w:p>
      <w:pPr>
        <w:pStyle w:val="Normal"/>
        <w:spacing w:lineRule="auto" w:line="276"/>
        <w:ind w:firstLine="567"/>
        <w:jc w:val="both"/>
        <w:rPr>
          <w:color w:val="002060"/>
        </w:rPr>
      </w:pPr>
      <w:r>
        <w:rPr>
          <w:b/>
          <w:sz w:val="32"/>
          <w:szCs w:val="32"/>
        </w:rPr>
        <w:t>В 2019 году золотой медалью</w:t>
      </w:r>
      <w:r>
        <w:rPr>
          <w:sz w:val="32"/>
          <w:szCs w:val="32"/>
        </w:rPr>
        <w:t xml:space="preserve"> «За особые успехи в учении» награждены 18 выпускников, медалью «За особые успехи выпускнику Дона»   2  выпускника  из школ № 4 и №12. Таким образом,  9,5 % от всех выпускников имеют заслуженные награды за обучение. Отношение к учёбе данных выпускников, труд их преподавателей, забота родителей заслуживают огромного уважения и служат примером и стимулом для всех нас.</w:t>
      </w:r>
    </w:p>
    <w:p>
      <w:pPr>
        <w:pStyle w:val="Normal"/>
        <w:spacing w:lineRule="auto" w:line="276"/>
        <w:ind w:firstLine="567"/>
        <w:jc w:val="both"/>
        <w:rPr>
          <w:color w:val="002060"/>
        </w:rPr>
      </w:pPr>
      <w:r>
        <w:rPr>
          <w:sz w:val="32"/>
          <w:szCs w:val="32"/>
        </w:rPr>
        <w:t xml:space="preserve">Третий год подряд при подготовке к августовской конференции мы анализируем результаты ЕГЭ медалистов. Для этого мы вывели средний балл каждого медалиста по всем сдаваемым предметам. Эти результаты вы видите на слайде.  </w:t>
      </w:r>
    </w:p>
    <w:p>
      <w:pPr>
        <w:pStyle w:val="Normal"/>
        <w:spacing w:lineRule="auto" w:line="276"/>
        <w:ind w:firstLine="567"/>
        <w:jc w:val="both"/>
        <w:rPr>
          <w:color w:val="002060"/>
          <w:sz w:val="32"/>
          <w:szCs w:val="32"/>
        </w:rPr>
      </w:pPr>
      <w:r>
        <w:rPr>
          <w:sz w:val="32"/>
          <w:szCs w:val="32"/>
        </w:rPr>
        <w:t xml:space="preserve">Хочется сказать, что результаты медалистов 2019 года лучше, чем у медалистов 2018 года, Максимальный средний балл по сдаваемым предметам – 93,5 балла (в 2018 году- 93 балла)  набрал медалист гимназии №12 Коршунова Екатерина. Более 80 баллов в среднем набрали 4 медалиста из школ № 4, 12 и 20. </w:t>
      </w:r>
    </w:p>
    <w:p>
      <w:pPr>
        <w:pStyle w:val="Normal"/>
        <w:spacing w:lineRule="auto" w:line="276"/>
        <w:ind w:firstLine="567"/>
        <w:jc w:val="both"/>
        <w:rPr>
          <w:color w:val="002060"/>
          <w:sz w:val="32"/>
          <w:szCs w:val="32"/>
        </w:rPr>
      </w:pPr>
      <w:r>
        <w:rPr>
          <w:sz w:val="32"/>
          <w:szCs w:val="32"/>
        </w:rPr>
        <w:t>Самый высокий балл по предмету – 98 – набрал по русскому языку медалист  школы №4, по истории - медалист гимназии №12. Самый низкий балл  по информатике – 40, а это минимальная граница по предмету  – набрал медалист школы №4.</w:t>
      </w:r>
    </w:p>
    <w:p>
      <w:pPr>
        <w:pStyle w:val="Normal"/>
        <w:spacing w:lineRule="auto" w:line="276"/>
        <w:ind w:firstLine="567"/>
        <w:jc w:val="both"/>
        <w:rPr>
          <w:color w:val="002060"/>
          <w:sz w:val="32"/>
          <w:szCs w:val="32"/>
        </w:rPr>
      </w:pPr>
      <w:r>
        <w:rPr>
          <w:sz w:val="32"/>
          <w:szCs w:val="32"/>
        </w:rPr>
        <w:t xml:space="preserve">Анализируя итоги государственной итоговой аттестации выпускников 9 и 11 классов нельзя не сказать о том, куда в дальнейшем поступили наши выпускники. </w:t>
      </w:r>
    </w:p>
    <w:p>
      <w:pPr>
        <w:pStyle w:val="Normal"/>
        <w:spacing w:lineRule="auto" w:line="276"/>
        <w:ind w:firstLine="567"/>
        <w:jc w:val="both"/>
        <w:rPr>
          <w:color w:val="002060"/>
        </w:rPr>
      </w:pPr>
      <w:r>
        <w:rPr>
          <w:sz w:val="32"/>
          <w:szCs w:val="32"/>
        </w:rPr>
        <w:t>Из общего количества выпускников 9-х классов 2019 года, а это 381 человек, более 160 человек (42%) продолжат обучение в 10 классе, 171 выпускник (45%) поступили в образовательные организации среднего профессионального образования, расположенные в нашем городе, 28 выпускников – в организации среднего профессионального образования в других городах области.</w:t>
      </w:r>
    </w:p>
    <w:p>
      <w:pPr>
        <w:pStyle w:val="Normal"/>
        <w:spacing w:lineRule="auto" w:line="276"/>
        <w:ind w:firstLine="567"/>
        <w:jc w:val="both"/>
        <w:rPr>
          <w:color w:val="002060"/>
          <w:sz w:val="32"/>
          <w:szCs w:val="32"/>
        </w:rPr>
      </w:pPr>
      <w:r>
        <w:rPr>
          <w:sz w:val="32"/>
          <w:szCs w:val="32"/>
        </w:rPr>
        <w:t>Из общего количества выпускников 11 классов, а это 190 человек, 87 выпускников (46%) поступили в высшие учебные заведения Ростовской области, 59 человек (31%) – в высшие учебные заведения, находящиеся за пределами Ростовской области, 33 выпускника (17%)  поступили в образовательные организации среднего профессионального образования, 15 человек, по различным причинам, в 2019 году не продолжают обучение.</w:t>
      </w:r>
    </w:p>
    <w:p>
      <w:pPr>
        <w:pStyle w:val="Normal"/>
        <w:spacing w:lineRule="auto" w:line="276"/>
        <w:ind w:firstLine="567"/>
        <w:jc w:val="both"/>
        <w:rPr/>
      </w:pPr>
      <w:r>
        <w:rPr>
          <w:sz w:val="32"/>
          <w:szCs w:val="32"/>
        </w:rPr>
        <w:t xml:space="preserve">С целью повышения качества образования к 2024 году в Ростовской области будет создано 500 центров образования цифрового и гуманитарного профилей «Точка роста». </w:t>
      </w:r>
      <w:r>
        <w:rPr>
          <w:rFonts w:eastAsia="Calibri"/>
          <w:sz w:val="32"/>
          <w:szCs w:val="32"/>
          <w:lang w:eastAsia="en-US"/>
        </w:rPr>
        <w:t>В муниципальном образовании «Город Донецк» по квоте  Минобразования Ростовской области планируется открытие 7 Центров «Точка роста» на базе общеобразовательных организаций. Первый центр планируется открыть на базе МБОУ СОШ №18 г. Донецка в 2020 году.</w:t>
      </w:r>
      <w:r>
        <w:rPr>
          <w:sz w:val="32"/>
          <w:szCs w:val="32"/>
        </w:rPr>
        <w:t xml:space="preserve"> </w:t>
      </w:r>
    </w:p>
    <w:p>
      <w:pPr>
        <w:pStyle w:val="Normal"/>
        <w:spacing w:lineRule="auto" w:line="276"/>
        <w:ind w:firstLine="737"/>
        <w:jc w:val="both"/>
        <w:rPr>
          <w:color w:val="auto"/>
        </w:rPr>
      </w:pPr>
      <w:r>
        <w:rPr>
          <w:color w:val="auto"/>
          <w:sz w:val="32"/>
          <w:szCs w:val="32"/>
        </w:rPr>
        <w:t>Уважаемые коллеги!</w:t>
      </w:r>
    </w:p>
    <w:p>
      <w:pPr>
        <w:pStyle w:val="Normal"/>
        <w:spacing w:lineRule="auto" w:line="276"/>
        <w:ind w:firstLine="737"/>
        <w:jc w:val="both"/>
        <w:rPr>
          <w:color w:val="002060"/>
          <w:sz w:val="32"/>
          <w:szCs w:val="32"/>
        </w:rPr>
      </w:pPr>
      <w:r>
        <w:rPr>
          <w:sz w:val="32"/>
          <w:szCs w:val="32"/>
        </w:rPr>
        <w:t xml:space="preserve">Отделом образования проводиться работа по созданию муниципальной системы по выявлению, поддержке и развитию способностей и талантов у обучающихся. </w:t>
      </w:r>
    </w:p>
    <w:p>
      <w:pPr>
        <w:pStyle w:val="Normal"/>
        <w:spacing w:lineRule="auto" w:line="276"/>
        <w:ind w:firstLine="567"/>
        <w:jc w:val="both"/>
        <w:rPr/>
      </w:pPr>
      <w:r>
        <w:rPr>
          <w:sz w:val="32"/>
          <w:szCs w:val="32"/>
        </w:rPr>
        <w:t xml:space="preserve">Участие обучающихся в олимпиадном движении помогает нам выявить способных, одаренных детей. Так в школьном этапе </w:t>
      </w:r>
      <w:r>
        <w:rPr>
          <w:b/>
          <w:sz w:val="32"/>
          <w:szCs w:val="32"/>
        </w:rPr>
        <w:t>всероссийской  олимпиады школьников</w:t>
      </w:r>
      <w:r>
        <w:rPr>
          <w:sz w:val="32"/>
          <w:szCs w:val="32"/>
        </w:rPr>
        <w:t xml:space="preserve"> в 2018-2019 учебном году  приняли участие 1316 чел., в муниципальном этапе всероссийской олимпиады школьников приняли участие  367 человека. На муниципальном этапе всероссийской олимпиады школьников  победителями и призерами стали 78 человек, что на 9 человек меньше показателя прошлого учебного года. Хочу обратить внимание руководителей школ и учителей предметников на снижение количества участников и победителей и принять меры к увеличению числа участников и призеров олимпиады.</w:t>
      </w:r>
    </w:p>
    <w:p>
      <w:pPr>
        <w:pStyle w:val="Normal"/>
        <w:spacing w:lineRule="auto" w:line="276"/>
        <w:ind w:firstLine="567"/>
        <w:jc w:val="both"/>
        <w:rPr/>
      </w:pPr>
      <w:r>
        <w:rPr>
          <w:sz w:val="32"/>
          <w:szCs w:val="32"/>
        </w:rPr>
        <w:t>Острым вопросом остается результативное участие наших обучающихся в региональном этапе всероссийской олимпиады школьников</w:t>
      </w:r>
      <w:r>
        <w:rPr>
          <w:color w:val="1C1C1C"/>
          <w:sz w:val="32"/>
          <w:szCs w:val="32"/>
        </w:rPr>
        <w:t>.</w:t>
      </w:r>
      <w:r>
        <w:rPr>
          <w:color w:val="FF4000"/>
          <w:sz w:val="32"/>
          <w:szCs w:val="32"/>
        </w:rPr>
        <w:t xml:space="preserve"> </w:t>
      </w:r>
      <w:r>
        <w:rPr>
          <w:sz w:val="32"/>
          <w:szCs w:val="32"/>
        </w:rPr>
        <w:t xml:space="preserve">В этом году были опасения, что результатов на региональном этапе олимпиады мы не добьемся. Очень приятно, что в этом году призером регионального этапа по обществознанию стала обучающаяся 10 класса МБОУ СОШ №1 г.Донецка Горбик Елизавета (учитель Ремина Екатерина Николаевна), что дает нам возможность надеяться на призовое место Лизы и в следующем году.  Считаю необходимым усилить работу по подготовке обучающихся к муниципальному и региональному этапам олимпиады. </w:t>
      </w:r>
    </w:p>
    <w:p>
      <w:pPr>
        <w:pStyle w:val="Normal"/>
        <w:spacing w:lineRule="auto" w:line="276"/>
        <w:ind w:firstLine="567"/>
        <w:jc w:val="both"/>
        <w:rPr>
          <w:color w:val="2A6099"/>
        </w:rPr>
      </w:pPr>
      <w:r>
        <w:rPr>
          <w:sz w:val="32"/>
          <w:szCs w:val="32"/>
        </w:rPr>
        <w:t>С этого учебного года на базе МБУДО ДДТ г.Донецка мы планируем организовать работу с одаренными детьми по предметной подготовке к всероссийской олимпиаде школьников по образу Всероссийского образовательного центра «Сириус», и регионального центра «Ступени Успеха». В планах МУ отдела образования создания на базе МБУДО ДДТ г.Донецка центра по работе с одаренными детьми по реализации дополнительных образовательных программ.</w:t>
      </w:r>
    </w:p>
    <w:p>
      <w:pPr>
        <w:pStyle w:val="Normal"/>
        <w:spacing w:lineRule="auto" w:line="276"/>
        <w:ind w:firstLine="737"/>
        <w:jc w:val="both"/>
        <w:rPr>
          <w:color w:val="002060"/>
          <w:sz w:val="32"/>
          <w:szCs w:val="32"/>
        </w:rPr>
      </w:pPr>
      <w:r>
        <w:rPr>
          <w:sz w:val="32"/>
          <w:szCs w:val="32"/>
        </w:rPr>
        <w:t>Одним из направлений проекта является ранняя профориентация обучающихся. В 2018-2019 году 1805 обучающихся приняли участие во всероссийских открытых уроках профнавигации в режиме интернет-трансляции на портале «Проектория». Ранняя профориентация позволяет определиться нашим выпускникам с выбором будущей профессии и выбором профессионального учебного заведения.</w:t>
      </w:r>
    </w:p>
    <w:p>
      <w:pPr>
        <w:pStyle w:val="Normal"/>
        <w:spacing w:lineRule="auto" w:line="276"/>
        <w:ind w:firstLine="567"/>
        <w:jc w:val="both"/>
        <w:rPr>
          <w:color w:val="002060"/>
          <w:sz w:val="32"/>
          <w:szCs w:val="32"/>
        </w:rPr>
      </w:pPr>
      <w:r>
        <w:rPr>
          <w:sz w:val="32"/>
          <w:szCs w:val="32"/>
        </w:rPr>
        <w:t xml:space="preserve">Хорошей традицией стала проведение в общеобразовательных организациях профориентационных мероприятий направленных на  популяризацию профессии педагога. 21  выпускник 9 и 11 классов поступил на педагогические специальности в 2019 году, это на 10 человек меньше, чем в прошлом году. </w:t>
      </w:r>
    </w:p>
    <w:p>
      <w:pPr>
        <w:pStyle w:val="Normal"/>
        <w:spacing w:lineRule="auto" w:line="276"/>
        <w:ind w:firstLine="567"/>
        <w:jc w:val="both"/>
        <w:rPr>
          <w:color w:val="002060"/>
          <w:sz w:val="32"/>
          <w:szCs w:val="32"/>
        </w:rPr>
      </w:pPr>
      <w:r>
        <w:rPr>
          <w:sz w:val="32"/>
          <w:szCs w:val="32"/>
        </w:rPr>
        <w:t xml:space="preserve">Коллеги, считаю необходимым активизировать работу по популяризации профессии учителя в следующем учебном году, так, как на сегодняшних день практически в каждой школе города не хватает педагогов. </w:t>
      </w:r>
    </w:p>
    <w:p>
      <w:pPr>
        <w:pStyle w:val="Normal"/>
        <w:spacing w:lineRule="auto" w:line="276"/>
        <w:ind w:firstLine="737"/>
        <w:jc w:val="both"/>
        <w:rPr>
          <w:color w:val="002060"/>
          <w:sz w:val="32"/>
          <w:szCs w:val="32"/>
        </w:rPr>
      </w:pPr>
      <w:r>
        <w:rPr>
          <w:b/>
          <w:sz w:val="32"/>
          <w:szCs w:val="32"/>
        </w:rPr>
        <w:t>Система дополнительного образования</w:t>
      </w:r>
      <w:r>
        <w:rPr>
          <w:sz w:val="32"/>
          <w:szCs w:val="32"/>
        </w:rPr>
        <w:t xml:space="preserve"> позволяет обучающимся развить свои способности и таланты.</w:t>
      </w:r>
    </w:p>
    <w:p>
      <w:pPr>
        <w:pStyle w:val="Normal"/>
        <w:spacing w:lineRule="auto" w:line="276"/>
        <w:ind w:firstLine="737"/>
        <w:jc w:val="both"/>
        <w:rPr>
          <w:color w:val="3465A4"/>
          <w:sz w:val="28"/>
          <w:szCs w:val="28"/>
        </w:rPr>
      </w:pPr>
      <w:r>
        <w:rPr>
          <w:sz w:val="32"/>
          <w:szCs w:val="32"/>
        </w:rPr>
        <w:t>Указом Президента Российской Федерации от 07.05.2012 № 599 «О мерах по реализации государственной политики в области образования и науки» предусмотрено увеличение к 2020 году числа детей в возрасте от 5 до 18 лет, охваченных дополнительным образованием, в общей численности детей этого возраста до 75 %. В 2024 году 80 % детей  должны заниматься  по программ дополнительного образования.</w:t>
      </w:r>
    </w:p>
    <w:p>
      <w:pPr>
        <w:pStyle w:val="Normal"/>
        <w:spacing w:lineRule="auto" w:line="276"/>
        <w:ind w:firstLine="737"/>
        <w:jc w:val="both"/>
        <w:rPr>
          <w:color w:val="3465A4"/>
          <w:sz w:val="28"/>
          <w:szCs w:val="28"/>
        </w:rPr>
      </w:pPr>
      <w:r>
        <w:rPr>
          <w:sz w:val="32"/>
          <w:szCs w:val="32"/>
        </w:rPr>
        <w:t xml:space="preserve">В 4  муниципальных учреждениях дополнительного образования  в 242 объединениях занимаются 3569 обучающихся, 433 ребёнка занимаются по программам дополнительного образования в 9 общеобразовательных организациях.  Цифры большие, но по  данным  персонифицированного  учёта всего лишь 56 % обучающихся занимаются по программам дополнительного образования. </w:t>
      </w:r>
    </w:p>
    <w:p>
      <w:pPr>
        <w:pStyle w:val="Normal"/>
        <w:spacing w:lineRule="auto" w:line="276"/>
        <w:ind w:firstLine="737"/>
        <w:jc w:val="both"/>
        <w:rPr/>
      </w:pPr>
      <w:r>
        <w:rPr>
          <w:sz w:val="32"/>
          <w:szCs w:val="32"/>
        </w:rPr>
        <w:t>С целью организации объективного учета детей в возрасте от 5 до 18 лет, охваченных дополнительным образованием, минобразованием Ростовской области с 12.04.2019 внедрена подсистем</w:t>
      </w:r>
      <w:r>
        <w:rPr>
          <w:sz w:val="32"/>
          <w:szCs w:val="32"/>
        </w:rPr>
        <w:t>а</w:t>
      </w:r>
      <w:r>
        <w:rPr>
          <w:sz w:val="32"/>
          <w:szCs w:val="32"/>
        </w:rPr>
        <w:t xml:space="preserve"> «Электронное дополнительное образование» региональной информационной системы Ростовской области «Образование». Указанная информационная система позволяет формировать статистические отчеты об охвате детей дополнительным образованием на требуемую дату по каждой образовательной организации и направленности дополнительного образования, в разрезе муниципальных образований.  </w:t>
      </w:r>
    </w:p>
    <w:p>
      <w:pPr>
        <w:pStyle w:val="Normal"/>
        <w:spacing w:lineRule="auto" w:line="276"/>
        <w:ind w:firstLine="737"/>
        <w:jc w:val="both"/>
        <w:rPr>
          <w:color w:val="3465A4"/>
          <w:sz w:val="28"/>
          <w:szCs w:val="28"/>
        </w:rPr>
      </w:pPr>
      <w:r>
        <w:rPr>
          <w:sz w:val="32"/>
          <w:szCs w:val="32"/>
        </w:rPr>
        <w:t xml:space="preserve">По данным подсистемы данный показатель по городу Донецку составляет  всего лишь 44 % охвата детей дополнительным образованием. </w:t>
      </w:r>
    </w:p>
    <w:p>
      <w:pPr>
        <w:pStyle w:val="Normal"/>
        <w:spacing w:lineRule="auto" w:line="276"/>
        <w:ind w:firstLine="737"/>
        <w:jc w:val="both"/>
        <w:rPr>
          <w:color w:val="3465A4"/>
          <w:sz w:val="28"/>
          <w:szCs w:val="28"/>
        </w:rPr>
      </w:pPr>
      <w:r>
        <w:rPr>
          <w:sz w:val="32"/>
          <w:szCs w:val="32"/>
        </w:rPr>
        <w:t>Исходя из данных показателей, можно наметить следующие задачи:</w:t>
      </w:r>
    </w:p>
    <w:p>
      <w:pPr>
        <w:pStyle w:val="Normal"/>
        <w:spacing w:lineRule="auto" w:line="276"/>
        <w:ind w:firstLine="737"/>
        <w:jc w:val="both"/>
        <w:rPr>
          <w:sz w:val="32"/>
          <w:szCs w:val="32"/>
        </w:rPr>
      </w:pPr>
      <w:r>
        <w:rPr>
          <w:sz w:val="32"/>
          <w:szCs w:val="32"/>
        </w:rPr>
        <w:t>активизировать работу по актуализации данных в подсистему «Электронное дополнительное образование» и внесение данных ДШИ;</w:t>
      </w:r>
    </w:p>
    <w:p>
      <w:pPr>
        <w:pStyle w:val="Normal"/>
        <w:spacing w:lineRule="auto" w:line="276"/>
        <w:ind w:firstLine="737"/>
        <w:jc w:val="both"/>
        <w:rPr>
          <w:color w:val="3465A4"/>
          <w:sz w:val="28"/>
          <w:szCs w:val="28"/>
        </w:rPr>
      </w:pPr>
      <w:r>
        <w:rPr>
          <w:sz w:val="32"/>
          <w:szCs w:val="32"/>
        </w:rPr>
        <w:t>внедрение программ дополнительного образования в дошкольных образовательных организациях;</w:t>
      </w:r>
    </w:p>
    <w:p>
      <w:pPr>
        <w:pStyle w:val="Normal"/>
        <w:spacing w:lineRule="auto" w:line="276"/>
        <w:ind w:firstLine="737"/>
        <w:jc w:val="both"/>
        <w:rPr>
          <w:color w:val="3465A4"/>
          <w:sz w:val="28"/>
          <w:szCs w:val="28"/>
        </w:rPr>
      </w:pPr>
      <w:r>
        <w:rPr>
          <w:sz w:val="32"/>
          <w:szCs w:val="32"/>
        </w:rPr>
        <w:t>и самое главное вовлечение обучающихся в  систему дополнительного образования.</w:t>
      </w:r>
    </w:p>
    <w:p>
      <w:pPr>
        <w:pStyle w:val="NoSpacing"/>
        <w:spacing w:lineRule="auto" w:line="276"/>
        <w:ind w:firstLine="709"/>
        <w:jc w:val="both"/>
        <w:rPr>
          <w:color w:val="3465A4"/>
        </w:rPr>
      </w:pPr>
      <w:r>
        <w:rPr>
          <w:sz w:val="32"/>
          <w:szCs w:val="32"/>
        </w:rPr>
        <w:t xml:space="preserve">Хочется отметить роль учреждений дополнительного образования  в социальной адаптации детей с ОВЗ и детей-инвалидов. </w:t>
      </w:r>
    </w:p>
    <w:p>
      <w:pPr>
        <w:pStyle w:val="NoSpacing"/>
        <w:spacing w:lineRule="auto" w:line="276"/>
        <w:ind w:firstLine="709"/>
        <w:jc w:val="both"/>
        <w:rPr>
          <w:color w:val="3465A4"/>
        </w:rPr>
      </w:pPr>
      <w:r>
        <w:rPr>
          <w:sz w:val="32"/>
          <w:szCs w:val="32"/>
        </w:rPr>
        <w:t>В МБУДО ДЮСШ №2 г. Донецка обучение детей с ОВЗ и детей-инвалидов проходит в   2 группах   спортивного оздоравливания на отделении плавания,   количество занимающихся  48 человек</w:t>
      </w:r>
      <w:r>
        <w:rPr>
          <w:kern w:val="2"/>
          <w:sz w:val="32"/>
          <w:szCs w:val="32"/>
          <w:lang w:eastAsia="ru-RU"/>
        </w:rPr>
        <w:t>.</w:t>
      </w:r>
    </w:p>
    <w:p>
      <w:pPr>
        <w:pStyle w:val="NoSpacing"/>
        <w:spacing w:lineRule="auto" w:line="276"/>
        <w:ind w:firstLine="709"/>
        <w:jc w:val="both"/>
        <w:rPr/>
      </w:pPr>
      <w:r>
        <w:rPr>
          <w:sz w:val="32"/>
          <w:szCs w:val="32"/>
        </w:rPr>
        <w:t>В отделении настольного тенниса МБУДО ДЮСШ №1 г.Донецка обучается 20</w:t>
      </w:r>
      <w:r>
        <w:rPr>
          <w:b/>
          <w:sz w:val="32"/>
          <w:szCs w:val="32"/>
        </w:rPr>
        <w:t xml:space="preserve"> </w:t>
      </w:r>
      <w:r>
        <w:rPr>
          <w:sz w:val="32"/>
          <w:szCs w:val="32"/>
        </w:rPr>
        <w:t xml:space="preserve">детей дошкольного возраста  с ограниченными возможностями здоровья по зрению.  </w:t>
      </w:r>
    </w:p>
    <w:p>
      <w:pPr>
        <w:pStyle w:val="NoSpacing"/>
        <w:spacing w:lineRule="auto" w:line="276"/>
        <w:ind w:firstLine="709"/>
        <w:jc w:val="both"/>
        <w:rPr/>
      </w:pPr>
      <w:r>
        <w:rPr>
          <w:kern w:val="2"/>
          <w:sz w:val="32"/>
          <w:szCs w:val="32"/>
          <w:lang w:eastAsia="ru-RU"/>
        </w:rPr>
        <w:t>В МБУДО ДДТ г. Донецка организована работа инклюзивного детского объединения художественной направленности «Радуга» в соответствии с адаптированной дополнительной общеобразовательной программой «Мир дизайна», в которой занимаются 6 детей  с ОВЗ и детей-инвалидов.</w:t>
      </w:r>
    </w:p>
    <w:p>
      <w:pPr>
        <w:pStyle w:val="NoSpacing"/>
        <w:spacing w:lineRule="auto" w:line="276"/>
        <w:ind w:firstLine="709"/>
        <w:jc w:val="both"/>
        <w:rPr>
          <w:sz w:val="32"/>
          <w:szCs w:val="32"/>
        </w:rPr>
      </w:pPr>
      <w:r>
        <w:rPr>
          <w:kern w:val="2"/>
          <w:sz w:val="32"/>
          <w:szCs w:val="32"/>
          <w:lang w:eastAsia="ru-RU"/>
        </w:rPr>
        <w:t>Уважаемые коллеги !</w:t>
      </w:r>
    </w:p>
    <w:p>
      <w:pPr>
        <w:pStyle w:val="NoSpacing"/>
        <w:spacing w:lineRule="auto" w:line="276"/>
        <w:ind w:firstLine="709"/>
        <w:jc w:val="both"/>
        <w:rPr>
          <w:sz w:val="32"/>
          <w:szCs w:val="32"/>
        </w:rPr>
      </w:pPr>
      <w:r>
        <w:rPr>
          <w:kern w:val="2"/>
          <w:sz w:val="32"/>
          <w:szCs w:val="32"/>
          <w:lang w:eastAsia="ru-RU"/>
        </w:rPr>
        <w:t>Развитию детской одаренности, поддержке талантливых детей уделяется большое внимание в нашем государстве.</w:t>
      </w:r>
    </w:p>
    <w:p>
      <w:pPr>
        <w:pStyle w:val="Style21"/>
        <w:spacing w:lineRule="auto" w:line="276"/>
        <w:ind w:firstLine="567"/>
        <w:jc w:val="both"/>
        <w:rPr/>
      </w:pPr>
      <w:r>
        <w:rPr>
          <w:sz w:val="32"/>
          <w:szCs w:val="32"/>
        </w:rPr>
        <w:t xml:space="preserve">В донских школах по инициативе Губернатора Ростовской области В.Ю. Голубева реализуются мероприятия «Всеобуч по шахматам». Всеобуч проводится в рамках реализации спортивно-оздоровительного направления внеурочной деятельности обучающихся в соответствии с федеральным государственным образовательным стандартом. </w:t>
      </w:r>
      <w:r>
        <w:rPr/>
        <w:t xml:space="preserve"> </w:t>
      </w:r>
      <w:r>
        <w:rPr>
          <w:sz w:val="32"/>
          <w:szCs w:val="32"/>
        </w:rPr>
        <w:t xml:space="preserve">  В школах города в 2018-2019 уч. году 2277 обучающихся начальной школы, среднего звена осваивают программу «Шахматный всеобуч», приобретая теоретические знания и практические навыки в шахматной игре. </w:t>
      </w:r>
    </w:p>
    <w:p>
      <w:pPr>
        <w:pStyle w:val="Style21"/>
        <w:spacing w:lineRule="auto" w:line="276"/>
        <w:ind w:firstLine="567"/>
        <w:jc w:val="both"/>
        <w:rPr/>
      </w:pPr>
      <w:r>
        <w:rPr>
          <w:sz w:val="32"/>
          <w:szCs w:val="32"/>
        </w:rPr>
        <w:t>Коллеги!</w:t>
      </w:r>
    </w:p>
    <w:p>
      <w:pPr>
        <w:pStyle w:val="Style21"/>
        <w:spacing w:lineRule="auto" w:line="276"/>
        <w:ind w:firstLine="567"/>
        <w:jc w:val="both"/>
        <w:rPr/>
      </w:pPr>
      <w:r>
        <w:rPr>
          <w:sz w:val="32"/>
          <w:szCs w:val="32"/>
        </w:rPr>
        <w:t>Воспитание гармонично  развитой социально-ответственной личности на основе духовно нравственных ценностей народов Российской Федерации, исторических и национально-культурных традиций одна из задач национального проекта «Образование».</w:t>
      </w:r>
    </w:p>
    <w:p>
      <w:pPr>
        <w:pStyle w:val="P1"/>
        <w:shd w:val="clear" w:color="auto" w:fill="FFFFFF"/>
        <w:spacing w:lineRule="auto" w:line="276" w:before="0" w:after="0"/>
        <w:ind w:firstLine="708"/>
        <w:jc w:val="both"/>
        <w:rPr>
          <w:color w:val="002060"/>
          <w:sz w:val="32"/>
          <w:szCs w:val="32"/>
        </w:rPr>
      </w:pPr>
      <w:r>
        <w:rPr>
          <w:sz w:val="32"/>
          <w:szCs w:val="32"/>
        </w:rPr>
        <w:t>В рамках региональной программы «Воспитан на Дону» каждой образовательной организации возможно проявить себя. В апреле 2019 года 5 образовательных организаций паспортизировали свои музеи. Позвольте мне вручить свидетельства школьным музеям.</w:t>
      </w:r>
    </w:p>
    <w:p>
      <w:pPr>
        <w:pStyle w:val="P1"/>
        <w:shd w:val="clear" w:color="auto" w:fill="FFFFFF"/>
        <w:spacing w:lineRule="auto" w:line="276" w:before="0" w:after="0"/>
        <w:ind w:firstLine="708"/>
        <w:jc w:val="both"/>
        <w:rPr/>
      </w:pPr>
      <w:r>
        <w:rPr>
          <w:color w:val="C00000"/>
          <w:sz w:val="32"/>
          <w:szCs w:val="32"/>
        </w:rPr>
        <w:t>Вручение свидетельст школьных музеев.</w:t>
      </w:r>
      <w:r>
        <w:rPr>
          <w:color w:val="002060"/>
          <w:sz w:val="32"/>
          <w:szCs w:val="32"/>
        </w:rPr>
        <w:t xml:space="preserve"> </w:t>
      </w:r>
    </w:p>
    <w:p>
      <w:pPr>
        <w:pStyle w:val="P1"/>
        <w:shd w:val="clear" w:color="auto" w:fill="FFFFFF"/>
        <w:spacing w:lineRule="auto" w:line="276" w:before="0" w:after="0"/>
        <w:ind w:firstLine="708"/>
        <w:jc w:val="both"/>
        <w:rPr/>
      </w:pPr>
      <w:r>
        <w:rPr>
          <w:sz w:val="32"/>
          <w:szCs w:val="32"/>
        </w:rPr>
        <w:t>Школьному музею школы №2;</w:t>
      </w:r>
    </w:p>
    <w:p>
      <w:pPr>
        <w:pStyle w:val="P1"/>
        <w:shd w:val="clear" w:color="auto" w:fill="FFFFFF"/>
        <w:spacing w:lineRule="auto" w:line="276" w:before="0" w:after="0"/>
        <w:ind w:firstLine="708"/>
        <w:jc w:val="both"/>
        <w:rPr/>
      </w:pPr>
      <w:r>
        <w:rPr>
          <w:sz w:val="32"/>
          <w:szCs w:val="32"/>
        </w:rPr>
        <w:t>Школьному музею  школы №3;</w:t>
      </w:r>
    </w:p>
    <w:p>
      <w:pPr>
        <w:pStyle w:val="P1"/>
        <w:shd w:val="clear" w:color="auto" w:fill="FFFFFF"/>
        <w:spacing w:lineRule="auto" w:line="276" w:before="0" w:after="0"/>
        <w:ind w:firstLine="708"/>
        <w:jc w:val="both"/>
        <w:rPr/>
      </w:pPr>
      <w:r>
        <w:rPr>
          <w:sz w:val="32"/>
          <w:szCs w:val="32"/>
        </w:rPr>
        <w:t>Школьному музею  школы №7;</w:t>
      </w:r>
    </w:p>
    <w:p>
      <w:pPr>
        <w:pStyle w:val="P1"/>
        <w:shd w:val="clear" w:color="auto" w:fill="FFFFFF"/>
        <w:spacing w:lineRule="auto" w:line="276" w:before="0" w:after="0"/>
        <w:ind w:firstLine="708"/>
        <w:jc w:val="both"/>
        <w:rPr/>
      </w:pPr>
      <w:r>
        <w:rPr>
          <w:sz w:val="32"/>
          <w:szCs w:val="32"/>
        </w:rPr>
        <w:t>Школьному музею  гимназии №12;</w:t>
      </w:r>
    </w:p>
    <w:p>
      <w:pPr>
        <w:pStyle w:val="P1"/>
        <w:shd w:val="clear" w:color="auto" w:fill="FFFFFF"/>
        <w:spacing w:lineRule="auto" w:line="276" w:before="0" w:after="0"/>
        <w:ind w:firstLine="708"/>
        <w:jc w:val="both"/>
        <w:rPr/>
      </w:pPr>
      <w:r>
        <w:rPr>
          <w:sz w:val="32"/>
          <w:szCs w:val="32"/>
        </w:rPr>
        <w:t>школьному музею школы №20.</w:t>
      </w:r>
    </w:p>
    <w:p>
      <w:pPr>
        <w:pStyle w:val="P1"/>
        <w:shd w:val="clear" w:color="auto" w:fill="FFFFFF"/>
        <w:spacing w:lineRule="auto" w:line="276" w:before="0" w:after="0"/>
        <w:ind w:firstLine="708"/>
        <w:jc w:val="both"/>
        <w:rPr/>
      </w:pPr>
      <w:r>
        <w:rPr>
          <w:sz w:val="32"/>
          <w:szCs w:val="32"/>
        </w:rPr>
        <w:t>На сегодня 9 общеобразовательных организаций города из 10 имеют паспортизированные музеи.</w:t>
      </w:r>
    </w:p>
    <w:p>
      <w:pPr>
        <w:pStyle w:val="Normal"/>
        <w:spacing w:lineRule="auto" w:line="276"/>
        <w:ind w:firstLine="567"/>
        <w:jc w:val="both"/>
        <w:rPr/>
      </w:pPr>
      <w:r>
        <w:rPr>
          <w:sz w:val="32"/>
          <w:szCs w:val="32"/>
        </w:rPr>
        <w:t>Уважаемые коллеги!</w:t>
      </w:r>
    </w:p>
    <w:p>
      <w:pPr>
        <w:pStyle w:val="Normal"/>
        <w:spacing w:lineRule="auto" w:line="276"/>
        <w:ind w:firstLine="567"/>
        <w:jc w:val="both"/>
        <w:rPr/>
      </w:pPr>
      <w:r>
        <w:rPr>
          <w:sz w:val="32"/>
          <w:szCs w:val="32"/>
        </w:rPr>
        <w:t xml:space="preserve">В системе образования города значимое место занимает </w:t>
      </w:r>
      <w:r>
        <w:rPr>
          <w:b/>
          <w:bCs/>
          <w:sz w:val="32"/>
          <w:szCs w:val="32"/>
        </w:rPr>
        <w:t xml:space="preserve">дошкольное образование. </w:t>
      </w:r>
    </w:p>
    <w:p>
      <w:pPr>
        <w:pStyle w:val="Normal"/>
        <w:spacing w:lineRule="auto" w:line="276"/>
        <w:ind w:firstLine="709"/>
        <w:jc w:val="both"/>
        <w:rPr/>
      </w:pPr>
      <w:r>
        <w:rPr>
          <w:sz w:val="32"/>
          <w:szCs w:val="32"/>
        </w:rPr>
        <w:t xml:space="preserve">Президентом России поручено к 2021 году обеспечить 100%-ную доступность дошкольного образования для детей в возрасте до 3 лет. Задачи по данному направлению поставлены в </w:t>
      </w:r>
      <w:r>
        <w:rPr>
          <w:sz w:val="32"/>
          <w:szCs w:val="32"/>
        </w:rPr>
        <w:t xml:space="preserve">федеральном </w:t>
      </w:r>
      <w:r>
        <w:rPr>
          <w:sz w:val="32"/>
          <w:szCs w:val="32"/>
        </w:rPr>
        <w:t xml:space="preserve"> национальном проекте  «Демография». На сегодняшний день мы с уверенностью говорим о том, что данная задача нами уже решена. Образовательные и коррекционные услуги через систему дошкольного образования города в прошедшем учебном году получили 1960 детей от 1,5 до 7 лет, в том числе 16 детей-инвалидов и 250 детей с ограниченными возможностями здоровья.</w:t>
      </w:r>
    </w:p>
    <w:p>
      <w:pPr>
        <w:pStyle w:val="Normal"/>
        <w:shd w:val="clear" w:color="auto" w:fill="FFFFFF"/>
        <w:spacing w:lineRule="auto" w:line="276"/>
        <w:ind w:firstLine="709"/>
        <w:jc w:val="both"/>
        <w:rPr>
          <w:color w:val="002060"/>
        </w:rPr>
      </w:pPr>
      <w:r>
        <w:rPr>
          <w:kern w:val="2"/>
          <w:sz w:val="32"/>
          <w:szCs w:val="32"/>
        </w:rPr>
        <w:t>Однако следует отметить, что в этом году наметилась тенденция сокращения количества детей, посещающих учреждения дошкольного образования. Планируется, что в новом 2019-2020 учебном году их будет 1855 человек. В связи с этим, с учетом требований, предъявляемых к наполняемости групп, других показателей «Дорожной карты», мы вынуждены принимать решение о не открытии некоторых групп. На сегодняшний день закрыты 2 группы в МБДОУ детских садах №7 и №18.</w:t>
      </w:r>
      <w:r>
        <w:rPr>
          <w:rFonts w:ascii="yandex-sans" w:hAnsi="yandex-sans"/>
          <w:kern w:val="2"/>
          <w:sz w:val="23"/>
          <w:szCs w:val="23"/>
        </w:rPr>
        <w:t xml:space="preserve"> </w:t>
      </w:r>
      <w:r>
        <w:rPr>
          <w:kern w:val="2"/>
          <w:sz w:val="32"/>
          <w:szCs w:val="32"/>
          <w:lang w:eastAsia="ru-RU"/>
        </w:rPr>
        <w:t>Дальнейшее сокращение контингента воспитанников может привести к закрытию отдельных зданий. И к такому развитию событий мы должны быть готовы.</w:t>
      </w:r>
    </w:p>
    <w:p>
      <w:pPr>
        <w:pStyle w:val="Normal"/>
        <w:shd w:val="clear" w:color="auto" w:fill="FFFFFF"/>
        <w:spacing w:lineRule="auto" w:line="276"/>
        <w:ind w:firstLine="709"/>
        <w:jc w:val="both"/>
        <w:rPr>
          <w:color w:val="002060"/>
        </w:rPr>
      </w:pPr>
      <w:r>
        <w:rPr>
          <w:sz w:val="32"/>
          <w:szCs w:val="32"/>
        </w:rPr>
        <w:t>Региональный проект «Поддержка семей, имеющих детей» направлен на оказание комплексной психолого-педагогической и информационно-просветительской поддержки родителям, в том числе желающим взять на воспитание детей, создание условий для раннего развития детей в возрасте до трех лет, реализацию программ психолого-педагогической, методической и консультативной помощи родителям детей, получающих дошкольное образование в семье.</w:t>
      </w:r>
    </w:p>
    <w:p>
      <w:pPr>
        <w:pStyle w:val="Normal"/>
        <w:spacing w:lineRule="auto" w:line="276"/>
        <w:ind w:firstLine="709"/>
        <w:jc w:val="both"/>
        <w:rPr>
          <w:color w:val="002060"/>
          <w:sz w:val="32"/>
          <w:szCs w:val="32"/>
        </w:rPr>
      </w:pPr>
      <w:r>
        <w:rPr>
          <w:sz w:val="32"/>
          <w:szCs w:val="32"/>
        </w:rPr>
        <w:t xml:space="preserve">Поддержка семей осуществляться через оказание консультативных и психолого-педагогических услуг родителям специалистами дошкольных учреждений в консультационных пунктах созданных в 3 муниципальных дошкольных образовательных организациях МБДОУ детских садах №4,10,11. На сегодняшний день деятельность консультационных пунктов рассчитана как на родителей чьи дети от 1.5 до 7 лет не посещают дошкольные учреждения, так и на родителей воспитанников, посещающих данные дошкольные учреждения. </w:t>
      </w:r>
    </w:p>
    <w:p>
      <w:pPr>
        <w:pStyle w:val="Normal"/>
        <w:spacing w:lineRule="auto" w:line="276"/>
        <w:ind w:firstLine="708"/>
        <w:jc w:val="both"/>
        <w:rPr>
          <w:color w:val="2A6099"/>
        </w:rPr>
      </w:pPr>
      <w:r>
        <w:rPr>
          <w:sz w:val="32"/>
          <w:szCs w:val="32"/>
          <w:lang w:eastAsia="uk-UA"/>
        </w:rPr>
        <w:t xml:space="preserve">С целью выполнения регионального национального проекта «Поддержка семей, имеющих детей» на протяжении 3 лет МУ отдел образования организует проведение курсов для родителей обучающихся и воспитанников образовательных организаций. В прошедшем учебном году на базе 10 школ проведены курсы по основам детской психологии, педагогики, медиабезопасности, развитию правовой культуры. </w:t>
      </w:r>
    </w:p>
    <w:p>
      <w:pPr>
        <w:pStyle w:val="Normal"/>
        <w:spacing w:lineRule="auto" w:line="276"/>
        <w:ind w:firstLine="708"/>
        <w:jc w:val="both"/>
        <w:rPr/>
      </w:pPr>
      <w:r>
        <w:rPr>
          <w:sz w:val="32"/>
          <w:szCs w:val="32"/>
          <w:lang w:eastAsia="uk-UA"/>
        </w:rPr>
        <w:t xml:space="preserve">К работе курсов привлечены 10 педагогов-психологов, юрист, помощник мирового судьи, 2 сотрудника </w:t>
      </w:r>
      <w:r>
        <w:rPr>
          <w:sz w:val="32"/>
          <w:szCs w:val="32"/>
          <w:lang w:eastAsia="uk-UA"/>
        </w:rPr>
        <w:t>Отдела внутренних дел</w:t>
      </w:r>
      <w:r>
        <w:rPr>
          <w:sz w:val="32"/>
          <w:szCs w:val="32"/>
          <w:lang w:eastAsia="uk-UA"/>
        </w:rPr>
        <w:t>, 1 представитель регионального движения «Интернет без угроз», 2 сотрудника пограничного управления, методист отдела образования.</w:t>
      </w:r>
    </w:p>
    <w:p>
      <w:pPr>
        <w:pStyle w:val="Normal"/>
        <w:spacing w:lineRule="auto" w:line="276"/>
        <w:ind w:firstLine="708"/>
        <w:jc w:val="both"/>
        <w:rPr/>
      </w:pPr>
      <w:r>
        <w:rPr>
          <w:sz w:val="32"/>
          <w:szCs w:val="32"/>
          <w:lang w:eastAsia="uk-UA"/>
        </w:rPr>
        <w:t>В рамках курсов проведены 10 интерактивных бесед и 20 психологических тренингов, рассмотрены вопросы правовой  тематики.</w:t>
      </w:r>
    </w:p>
    <w:p>
      <w:pPr>
        <w:pStyle w:val="Normal"/>
        <w:spacing w:lineRule="auto" w:line="276"/>
        <w:ind w:firstLine="708"/>
        <w:jc w:val="both"/>
        <w:rPr/>
      </w:pPr>
      <w:r>
        <w:rPr>
          <w:sz w:val="32"/>
          <w:szCs w:val="32"/>
          <w:lang w:eastAsia="uk-UA"/>
        </w:rPr>
        <w:t xml:space="preserve">Численность родителей, прошедших курсы в первом полугодии 2019 г. составила 2121 человек. </w:t>
      </w:r>
    </w:p>
    <w:p>
      <w:pPr>
        <w:pStyle w:val="Normal"/>
        <w:spacing w:lineRule="auto" w:line="276"/>
        <w:ind w:firstLine="708"/>
        <w:jc w:val="both"/>
        <w:rPr/>
      </w:pPr>
      <w:r>
        <w:rPr>
          <w:sz w:val="32"/>
          <w:szCs w:val="32"/>
          <w:lang w:eastAsia="uk-UA"/>
        </w:rPr>
        <w:t xml:space="preserve"> </w:t>
      </w:r>
      <w:r>
        <w:rPr>
          <w:sz w:val="32"/>
          <w:szCs w:val="32"/>
          <w:lang w:eastAsia="uk-UA"/>
        </w:rPr>
        <w:t>1 сентября 2018 года во всех общеобразовательных организациях были созданы консультативные центры для родителей, в которых обеспечены условия для оказания консультативной помощи родителям по вопросам воспитания, обучения и развития детей. В работе центров задействованы педагоги-психологи, Уполномоченные по правам ребенка, медиаторы, заместители директоров.</w:t>
      </w:r>
    </w:p>
    <w:p>
      <w:pPr>
        <w:pStyle w:val="Normal"/>
        <w:spacing w:lineRule="auto" w:line="276"/>
        <w:ind w:firstLine="708"/>
        <w:jc w:val="both"/>
        <w:rPr/>
      </w:pPr>
      <w:r>
        <w:rPr>
          <w:sz w:val="32"/>
          <w:szCs w:val="32"/>
          <w:lang w:eastAsia="uk-UA"/>
        </w:rPr>
        <w:t>По состоянию на 07.06.2019г. согласно данным журналов учета письменных и устных обращений граждан  с сентября 2018 года оказано 276 консультаций  родителям и законным представителям детей.</w:t>
      </w:r>
    </w:p>
    <w:p>
      <w:pPr>
        <w:pStyle w:val="Normal"/>
        <w:spacing w:lineRule="auto" w:line="276"/>
        <w:ind w:firstLine="708"/>
        <w:jc w:val="both"/>
        <w:rPr>
          <w:color w:val="2A6099"/>
        </w:rPr>
      </w:pPr>
      <w:r>
        <w:rPr>
          <w:sz w:val="32"/>
          <w:szCs w:val="32"/>
        </w:rPr>
        <w:t xml:space="preserve">С целью оказания психолого-педагогической и  социальной помощи детям с проблемами в обучении, адаптации, отклонениями в поведении, с нарушениями психоэмоционального, речевого и интеллектуального развития в 2020 году МУ отделом образования запланировано открытие МБУ «Центра психолого - педагогической и социальной помощи». </w:t>
      </w:r>
    </w:p>
    <w:p>
      <w:pPr>
        <w:pStyle w:val="Normal"/>
        <w:spacing w:lineRule="auto" w:line="276"/>
        <w:ind w:firstLine="737"/>
        <w:jc w:val="both"/>
        <w:rPr/>
      </w:pPr>
      <w:r>
        <w:rPr>
          <w:sz w:val="32"/>
          <w:szCs w:val="32"/>
          <w:lang w:eastAsia="uk-UA"/>
        </w:rPr>
        <w:t>Открытие Центра  позволит детям, испытывающим трудности в развитии, их родителям получить  необходимую комплексную психолого-педагогическую и социальную помощь для предупреждения дальнейшего отклонения в   развитии ребенка, достижения максимально возможного уровня его общего развития, образования, социализации. В штат   центра войдут педагоги-психологи, логопед, дефектолог, валеолог, социальный педагог.  Структурным подразделением центра станет Городская психолого-медико педагогическая  комиссия.</w:t>
      </w:r>
    </w:p>
    <w:p>
      <w:pPr>
        <w:pStyle w:val="Normal"/>
        <w:spacing w:lineRule="auto" w:line="276"/>
        <w:ind w:firstLine="737"/>
        <w:jc w:val="both"/>
        <w:rPr>
          <w:color w:val="2A6099"/>
          <w:sz w:val="32"/>
          <w:szCs w:val="32"/>
          <w:lang w:eastAsia="uk-UA"/>
        </w:rPr>
      </w:pPr>
      <w:r>
        <w:rPr>
          <w:sz w:val="32"/>
          <w:szCs w:val="32"/>
          <w:lang w:eastAsia="uk-UA"/>
        </w:rPr>
        <w:t xml:space="preserve">Региональный национальный проект </w:t>
      </w:r>
      <w:r>
        <w:rPr>
          <w:b/>
          <w:bCs/>
          <w:sz w:val="32"/>
          <w:szCs w:val="32"/>
          <w:lang w:eastAsia="uk-UA"/>
        </w:rPr>
        <w:t xml:space="preserve">«Цифровая образовательная среда» </w:t>
      </w:r>
      <w:r>
        <w:rPr>
          <w:sz w:val="32"/>
          <w:szCs w:val="32"/>
          <w:lang w:eastAsia="uk-UA"/>
        </w:rPr>
        <w:t>ставит перед  собой задачу увеличения доли обучающихся по программам общего образования, дополнительного образования детей, для которых формируется цифровой образовательный профиль и индивидуальный план обучения, в числе обучающихся по данным программам. 100 % муниципальных образований Ростовской области внедрят целевую модель цифровой образовательной среды в образовательных организациях, реализующих программы общего образования к концу 2024 года. Данный проект будет реализован в наших школах с использованием федеральной информационно-сервисной платформы цифровой образовательной среды (ФИСП) разработка которой сейчас идет. В перспективах оснащение всех общеобразовательных организаций высокоскоростным интернетом, что позволит увеличить долю педагогов, использующих ИКТ.</w:t>
      </w:r>
    </w:p>
    <w:p>
      <w:pPr>
        <w:pStyle w:val="Normal"/>
        <w:spacing w:lineRule="auto" w:line="276"/>
        <w:ind w:firstLine="737"/>
        <w:jc w:val="both"/>
        <w:rPr/>
      </w:pPr>
      <w:r>
        <w:rPr>
          <w:sz w:val="32"/>
          <w:szCs w:val="32"/>
          <w:lang w:eastAsia="uk-UA"/>
        </w:rPr>
        <w:t xml:space="preserve">Региональный национальный проект </w:t>
      </w:r>
      <w:r>
        <w:rPr>
          <w:b/>
          <w:bCs/>
          <w:sz w:val="32"/>
          <w:szCs w:val="32"/>
          <w:lang w:eastAsia="uk-UA"/>
        </w:rPr>
        <w:t xml:space="preserve">«Учитель будущего» </w:t>
      </w:r>
      <w:r>
        <w:rPr>
          <w:sz w:val="32"/>
          <w:szCs w:val="32"/>
          <w:lang w:eastAsia="uk-UA"/>
        </w:rPr>
        <w:t>ставит перед собой задачу увеличения доли учителей общеобразовательных организаций, вовлеченных в национальную систему профессионального роста педагогических работников.</w:t>
      </w:r>
    </w:p>
    <w:p>
      <w:pPr>
        <w:pStyle w:val="Style21"/>
        <w:spacing w:lineRule="auto" w:line="276" w:before="0" w:after="0"/>
        <w:ind w:firstLine="680"/>
        <w:jc w:val="both"/>
        <w:rPr/>
      </w:pPr>
      <w:r>
        <w:rPr>
          <w:sz w:val="32"/>
          <w:szCs w:val="32"/>
          <w:lang w:eastAsia="uk-UA"/>
        </w:rPr>
        <w:t>С целью реализации данного проекта на территории нашего города МУ отдел образования организует работу с молодыми педагогами общеобразовательных организаций. 3 года отдел образования курирует работу Школы молодого учителя. Цель работы школы — поддержка процессов профессионального развития молодого педагога, создание условий для формирования профессиональной компетентности молодого специалиста, потребностей в самообразовании и развитии творческого потенциала личности педагога. В Школу молодого учителя</w:t>
      </w:r>
      <w:r>
        <w:rPr>
          <w:b/>
          <w:bCs/>
          <w:sz w:val="32"/>
          <w:szCs w:val="32"/>
          <w:lang w:eastAsia="uk-UA"/>
        </w:rPr>
        <w:t xml:space="preserve"> </w:t>
      </w:r>
      <w:r>
        <w:rPr>
          <w:sz w:val="32"/>
          <w:szCs w:val="32"/>
          <w:lang w:eastAsia="uk-UA"/>
        </w:rPr>
        <w:t>зачисляются молодые специалисты общеобразовательных организаций со стажем работы до 3 лет.</w:t>
      </w:r>
      <w:r>
        <w:rPr>
          <w:sz w:val="28"/>
          <w:szCs w:val="28"/>
          <w:lang w:eastAsia="uk-UA"/>
        </w:rPr>
        <w:t xml:space="preserve"> </w:t>
      </w:r>
      <w:r>
        <w:rPr>
          <w:sz w:val="32"/>
          <w:szCs w:val="32"/>
          <w:lang w:eastAsia="uk-UA"/>
        </w:rPr>
        <w:t>В прошедшем учебном году слушателями школы были 8 молодых специалистов. Во всех образовательных организациях функционирует институт наставничества. За каждым молодым педагогом закреплен наставник из числа опытных педагогов. В рамках работы Школы молодого учителя наставники делятся с молодыми педагогами своим профессиональным опытом.  В прошедшем учебном году 2 слушателя получили Сертификат об окончании школы.</w:t>
      </w:r>
    </w:p>
    <w:p>
      <w:pPr>
        <w:pStyle w:val="Style21"/>
        <w:spacing w:lineRule="auto" w:line="276" w:before="0" w:after="0"/>
        <w:ind w:firstLine="680"/>
        <w:jc w:val="both"/>
        <w:rPr/>
      </w:pPr>
      <w:r>
        <w:rPr>
          <w:sz w:val="32"/>
          <w:szCs w:val="32"/>
          <w:lang w:eastAsia="uk-UA"/>
        </w:rPr>
        <w:t>В новом учебном году в образовательные организации придут 6 молодых специалистов: 3 воспитателя, 3 педагога.</w:t>
      </w:r>
    </w:p>
    <w:p>
      <w:pPr>
        <w:pStyle w:val="Style21"/>
        <w:spacing w:lineRule="auto" w:line="276" w:before="0" w:after="0"/>
        <w:ind w:firstLine="680"/>
        <w:jc w:val="both"/>
        <w:rPr/>
      </w:pPr>
      <w:r>
        <w:rPr>
          <w:sz w:val="32"/>
          <w:szCs w:val="32"/>
        </w:rPr>
        <w:t xml:space="preserve">Повышение качества образования неразрывно связано с профессиональной компетентностью педагога. Участие в конкурсах профессионального мастерства дают педагогу возможность стать значимым в профессиональном сообществе через оценку его педагогической деятельности, реализовать  своё профессиональное «Я» в условиях состязания, повысить свой профессиональный уровень. </w:t>
      </w:r>
    </w:p>
    <w:p>
      <w:pPr>
        <w:pStyle w:val="Normal"/>
        <w:spacing w:lineRule="auto" w:line="276"/>
        <w:ind w:firstLine="567"/>
        <w:jc w:val="both"/>
        <w:rPr>
          <w:color w:val="2A6099"/>
          <w:sz w:val="32"/>
          <w:szCs w:val="32"/>
        </w:rPr>
      </w:pPr>
      <w:r>
        <w:rPr>
          <w:sz w:val="32"/>
          <w:szCs w:val="32"/>
        </w:rPr>
        <w:t>Пятый год работает клуб профессионального мастерства «Профессионал. ру», объединивший  организаторов и  участников педагогических профессиональных конкурсов.</w:t>
      </w:r>
    </w:p>
    <w:p>
      <w:pPr>
        <w:pStyle w:val="Normal"/>
        <w:spacing w:lineRule="auto" w:line="276"/>
        <w:ind w:firstLine="567"/>
        <w:jc w:val="both"/>
        <w:rPr>
          <w:color w:val="2A6099"/>
          <w:sz w:val="32"/>
          <w:szCs w:val="32"/>
        </w:rPr>
      </w:pPr>
      <w:r>
        <w:rPr>
          <w:sz w:val="32"/>
          <w:szCs w:val="32"/>
        </w:rPr>
        <w:t>В рамках деятельности  клуба с февраля по май 2019 г. проведены три  семинара «Диссеминация передового педагогического опыта лучших педагогов муниципального образования «Город Донецк».</w:t>
      </w:r>
    </w:p>
    <w:p>
      <w:pPr>
        <w:pStyle w:val="Normal"/>
        <w:spacing w:lineRule="auto" w:line="276"/>
        <w:ind w:firstLine="567"/>
        <w:jc w:val="both"/>
        <w:rPr>
          <w:color w:val="2A6099"/>
          <w:sz w:val="32"/>
          <w:szCs w:val="32"/>
        </w:rPr>
      </w:pPr>
      <w:r>
        <w:rPr>
          <w:sz w:val="32"/>
          <w:szCs w:val="32"/>
        </w:rPr>
        <w:tab/>
        <w:t>В работе семинаров  приняли участие более 200 педагогов  города Донецка и более 30 педагогов  Луганской Народной Республики. В программе семинаров были: открытые уроки, занятия, мастер-классы и  творческие мастерские. Положительный опыт профессионального сотрудничества будет продолжен в новом учебном году.</w:t>
      </w:r>
    </w:p>
    <w:p>
      <w:pPr>
        <w:pStyle w:val="Normal"/>
        <w:spacing w:lineRule="auto" w:line="276"/>
        <w:ind w:firstLine="567"/>
        <w:jc w:val="both"/>
        <w:rPr/>
      </w:pPr>
      <w:r>
        <w:rPr>
          <w:sz w:val="32"/>
          <w:szCs w:val="32"/>
        </w:rPr>
        <w:t>В сентябре 2018 г. проведен I</w:t>
      </w:r>
      <w:r>
        <w:rPr>
          <w:sz w:val="32"/>
          <w:szCs w:val="32"/>
          <w:lang w:val="en-US"/>
        </w:rPr>
        <w:t>II</w:t>
      </w:r>
      <w:r>
        <w:rPr>
          <w:sz w:val="32"/>
          <w:szCs w:val="32"/>
        </w:rPr>
        <w:t xml:space="preserve"> муниципальный слет молодых педагогов нашего города, объединивший более 50 молодых и талантливых педагогов образовательных организаций города Донецка, Гуково, Зверево, Каменского района и Луганской Народной Республики.</w:t>
      </w:r>
    </w:p>
    <w:p>
      <w:pPr>
        <w:pStyle w:val="Normal"/>
        <w:spacing w:lineRule="auto" w:line="276"/>
        <w:ind w:firstLine="567"/>
        <w:jc w:val="both"/>
        <w:rPr>
          <w:color w:val="2A6099"/>
          <w:sz w:val="32"/>
          <w:szCs w:val="32"/>
        </w:rPr>
      </w:pPr>
      <w:r>
        <w:rPr>
          <w:sz w:val="32"/>
          <w:szCs w:val="32"/>
        </w:rPr>
        <w:t>3 педагога общеобразовательных организаций города в составе делегации Ростовской области приняла участие в работе слета «Педагог года Подмосковья», 6  педагогов приняли участие в ежегодном межрегиональном семинаре организаторов и участников профессиональных конкурсов  в п. Лазаревское Краснодарского края, 10 педагогов - в о</w:t>
      </w:r>
      <w:r>
        <w:rPr>
          <w:bCs/>
          <w:sz w:val="32"/>
          <w:szCs w:val="32"/>
        </w:rPr>
        <w:t xml:space="preserve">бразовательном салоне </w:t>
      </w:r>
      <w:r>
        <w:rPr>
          <w:sz w:val="32"/>
          <w:szCs w:val="32"/>
        </w:rPr>
        <w:t>Луганской Народной Республики  «Современное образование-2018», 12 педагогов -  в Фестивале «Планета творчества и мастерства на земле, хранящей память  об Анатолии  Калинине».</w:t>
      </w:r>
    </w:p>
    <w:p>
      <w:pPr>
        <w:pStyle w:val="Normal"/>
        <w:spacing w:lineRule="auto" w:line="276"/>
        <w:ind w:firstLine="567"/>
        <w:jc w:val="both"/>
        <w:rPr>
          <w:color w:val="2A6099"/>
          <w:sz w:val="32"/>
          <w:szCs w:val="32"/>
        </w:rPr>
      </w:pPr>
      <w:r>
        <w:rPr>
          <w:sz w:val="32"/>
          <w:szCs w:val="32"/>
        </w:rPr>
        <w:t>Хочется отметить самые значимые достижения педагогов в минувшем году:</w:t>
      </w:r>
    </w:p>
    <w:p>
      <w:pPr>
        <w:pStyle w:val="Normal"/>
        <w:spacing w:lineRule="auto" w:line="276"/>
        <w:ind w:firstLine="567"/>
        <w:jc w:val="both"/>
        <w:rPr/>
      </w:pPr>
      <w:r>
        <w:rPr>
          <w:sz w:val="32"/>
          <w:szCs w:val="32"/>
        </w:rPr>
        <w:t>- Огрызко Елена Вячеславовна, учитель английского языка МБОУ СОШ №4 г.Донецка, побел</w:t>
      </w:r>
      <w:bookmarkStart w:id="3" w:name="_GoBack2"/>
      <w:bookmarkEnd w:id="3"/>
      <w:r>
        <w:rPr>
          <w:sz w:val="32"/>
          <w:szCs w:val="32"/>
        </w:rPr>
        <w:t>итель конкурса профессионального мастерства молодых учителей и наставников «Молодой учитель Дона 2019» ;</w:t>
      </w:r>
    </w:p>
    <w:p>
      <w:pPr>
        <w:pStyle w:val="Normal"/>
        <w:spacing w:lineRule="auto" w:line="276"/>
        <w:ind w:firstLine="567"/>
        <w:jc w:val="both"/>
        <w:rPr/>
      </w:pPr>
      <w:r>
        <w:rPr>
          <w:sz w:val="32"/>
          <w:szCs w:val="32"/>
        </w:rPr>
        <w:t xml:space="preserve">- Космодемьянская Зоя Анатольевна, методист, педагог дополнительного образования МБУДО ДДТ г.Донецка, призер </w:t>
      </w:r>
      <w:r>
        <w:rPr>
          <w:bCs/>
          <w:sz w:val="32"/>
          <w:szCs w:val="32"/>
        </w:rPr>
        <w:t>Областного этапа Всероссийского конкурса педагогов дополнительного образования «Сердце отдаю детям».</w:t>
      </w:r>
    </w:p>
    <w:p>
      <w:pPr>
        <w:pStyle w:val="Normal"/>
        <w:spacing w:lineRule="auto" w:line="276"/>
        <w:ind w:firstLine="567"/>
        <w:jc w:val="both"/>
        <w:rPr/>
      </w:pPr>
      <w:r>
        <w:rPr>
          <w:sz w:val="32"/>
          <w:szCs w:val="32"/>
        </w:rPr>
        <w:t>Хочется поблагодарить педагогов, которые на высоком профессиональном уровне представляли образование города Донецка. А также обратиться, коллеги, пробуйте свои силы в профессиональных конкурсах, показывайте свои достижения, постигайте тонкости и секреты современного педагогического мастерства.</w:t>
      </w:r>
    </w:p>
    <w:p>
      <w:pPr>
        <w:pStyle w:val="Normal"/>
        <w:spacing w:lineRule="auto" w:line="276"/>
        <w:ind w:firstLine="567"/>
        <w:jc w:val="both"/>
        <w:rPr/>
      </w:pPr>
      <w:r>
        <w:rPr>
          <w:sz w:val="32"/>
          <w:szCs w:val="32"/>
          <w:lang w:eastAsia="uk-UA"/>
        </w:rPr>
        <w:t>Коллеги!</w:t>
      </w:r>
    </w:p>
    <w:p>
      <w:pPr>
        <w:pStyle w:val="Normal"/>
        <w:spacing w:lineRule="auto" w:line="276"/>
        <w:ind w:firstLine="737"/>
        <w:jc w:val="both"/>
        <w:rPr/>
      </w:pPr>
      <w:r>
        <w:rPr>
          <w:sz w:val="32"/>
          <w:szCs w:val="32"/>
          <w:lang w:eastAsia="uk-UA"/>
        </w:rPr>
        <w:t>Мы с вами принимаем активное участие в реализации регионального проекта «Социальная активность».</w:t>
      </w:r>
      <w:r>
        <w:rPr/>
        <w:t xml:space="preserve"> </w:t>
      </w:r>
      <w:r>
        <w:rPr>
          <w:sz w:val="32"/>
          <w:szCs w:val="32"/>
          <w:lang w:eastAsia="uk-UA"/>
        </w:rPr>
        <w:t xml:space="preserve">С 2017 года три общеобразовательные организации (МБОУ СОШ №1 г.Донецка, МБОУ СОШ №4 г.Донецка, МБОУ гимназии №12 г.Донецка) вступили в ряды Общероссийской общественно-государственной детско-юношеской организации «Российское движение школьников».  Члены донецкого отделения РДШ активно принимают участие в различных мероприятиях, посвящённых значимым  событиям в нашей стране  </w:t>
      </w:r>
    </w:p>
    <w:p>
      <w:pPr>
        <w:pStyle w:val="Normal"/>
        <w:spacing w:lineRule="auto" w:line="276"/>
        <w:ind w:firstLine="737"/>
        <w:jc w:val="both"/>
        <w:rPr>
          <w:color w:val="2A6099"/>
        </w:rPr>
      </w:pPr>
      <w:r>
        <w:rPr>
          <w:sz w:val="32"/>
          <w:szCs w:val="32"/>
        </w:rPr>
        <w:t>Активную гражданскую позицию члены РДШ проявляют через волонтерскую деятельность. Нужно отметить, что во всех школах города есть волонтерские отряды. В рамках волонтерского движения ребята участвуют во Всероссийских акциях «Георгиевская ленточка, «Российская ленточка»; городских акциях «Тимуровский рейд», «Поздравь ветерана»; в мероприятиях посвященных Дню добрых дел, Дню пожилого человека, Дню инвалида.</w:t>
      </w:r>
    </w:p>
    <w:p>
      <w:pPr>
        <w:pStyle w:val="Normal"/>
        <w:spacing w:lineRule="auto" w:line="276"/>
        <w:ind w:firstLine="737"/>
        <w:jc w:val="both"/>
        <w:rPr/>
      </w:pPr>
      <w:r>
        <w:rPr>
          <w:sz w:val="32"/>
          <w:szCs w:val="32"/>
          <w:lang w:eastAsia="uk-UA"/>
        </w:rPr>
        <w:t xml:space="preserve">В новом учебном году на базе МБОУ гимназии №12 г.Донецка пройдет присяга обучающихся гимназии по вступлению в ряды Всероссийского детско-юношеского военно-патриотического общественного движения «Юнармия». </w:t>
      </w:r>
    </w:p>
    <w:p>
      <w:pPr>
        <w:pStyle w:val="Normal"/>
        <w:spacing w:lineRule="auto" w:line="276"/>
        <w:ind w:firstLine="737"/>
        <w:jc w:val="both"/>
        <w:rPr/>
      </w:pPr>
      <w:r>
        <w:rPr>
          <w:sz w:val="32"/>
          <w:szCs w:val="32"/>
          <w:lang w:eastAsia="uk-UA"/>
        </w:rPr>
        <w:t>Доля обучающихся, участвующих в различных конкурсах, олимпиадах составляет в 2018 году 75 %.</w:t>
      </w:r>
    </w:p>
    <w:p>
      <w:pPr>
        <w:pStyle w:val="Normal"/>
        <w:spacing w:lineRule="auto" w:line="276"/>
        <w:ind w:firstLine="737"/>
        <w:jc w:val="both"/>
        <w:rPr/>
      </w:pPr>
      <w:r>
        <w:rPr>
          <w:sz w:val="32"/>
          <w:szCs w:val="32"/>
          <w:lang w:eastAsia="uk-UA"/>
        </w:rPr>
        <w:t xml:space="preserve">Региональный проект </w:t>
      </w:r>
      <w:r>
        <w:rPr>
          <w:b/>
          <w:bCs/>
          <w:sz w:val="32"/>
          <w:szCs w:val="32"/>
          <w:lang w:eastAsia="uk-UA"/>
        </w:rPr>
        <w:t xml:space="preserve">«Новые возможности для каждого»  направлен на </w:t>
      </w:r>
      <w:r>
        <w:rPr>
          <w:sz w:val="32"/>
          <w:szCs w:val="32"/>
          <w:lang w:eastAsia="uk-UA"/>
        </w:rPr>
        <w:t xml:space="preserve">увеличение количества граждан, ежегодно проходящих обучении по программам непрерывного обучения </w:t>
      </w:r>
      <w:bookmarkStart w:id="4" w:name="__DdeLink__2107_996143034"/>
      <w:r>
        <w:rPr>
          <w:sz w:val="32"/>
          <w:szCs w:val="32"/>
          <w:lang w:eastAsia="uk-UA"/>
        </w:rPr>
        <w:t>в образовательных организациях среднего и дополнительного профессионального образования.</w:t>
      </w:r>
    </w:p>
    <w:p>
      <w:pPr>
        <w:pStyle w:val="Normal"/>
        <w:spacing w:lineRule="auto" w:line="276"/>
        <w:ind w:firstLine="709"/>
        <w:jc w:val="both"/>
        <w:rPr/>
      </w:pPr>
      <w:r>
        <w:rPr>
          <w:sz w:val="32"/>
          <w:szCs w:val="32"/>
          <w:lang w:eastAsia="uk-UA"/>
        </w:rPr>
        <w:t>Вот так кратко мы обозначили участие системы образования города Донецка в реализации региональных проектов федерального проекта «Образование», от каждого из нас зависит   успешность их реализации.</w:t>
      </w:r>
      <w:bookmarkEnd w:id="4"/>
    </w:p>
    <w:p>
      <w:pPr>
        <w:pStyle w:val="Normal"/>
        <w:spacing w:lineRule="auto" w:line="276"/>
        <w:ind w:firstLine="709"/>
        <w:jc w:val="both"/>
        <w:rPr/>
      </w:pPr>
      <w:r>
        <w:rPr>
          <w:iCs/>
          <w:sz w:val="32"/>
          <w:szCs w:val="32"/>
          <w:lang w:eastAsia="en-US"/>
        </w:rPr>
        <w:t>Уважаемые коллеги!</w:t>
      </w:r>
    </w:p>
    <w:p>
      <w:pPr>
        <w:pStyle w:val="Normal"/>
        <w:spacing w:lineRule="auto" w:line="276"/>
        <w:ind w:firstLine="709"/>
        <w:jc w:val="both"/>
        <w:rPr/>
      </w:pPr>
      <w:r>
        <w:rPr>
          <w:sz w:val="32"/>
          <w:szCs w:val="32"/>
          <w:lang w:eastAsia="uk-UA"/>
        </w:rPr>
        <w:t>Всего несколько дней отделят нас от замечательного праздника – Дня знаний. Этот праздник, как никакой другой, объединяет взрослых и детей, учителей и учеников. Поздравляю Вас с наступающим новым учебным годом. Пусть этот год будет особенным для каждого из вас, пусть он будет наполнен радостными событиями, яркими достижениями, Желаю вам творческого вдохновения, счастья и крепкого здоровья! Спасибо за внимание!</w:t>
      </w:r>
    </w:p>
    <w:p>
      <w:pPr>
        <w:pStyle w:val="Normal"/>
        <w:spacing w:lineRule="auto" w:line="276"/>
        <w:ind w:firstLine="737"/>
        <w:jc w:val="both"/>
        <w:rPr>
          <w:color w:val="2A6099"/>
          <w:sz w:val="32"/>
          <w:szCs w:val="32"/>
          <w:lang w:eastAsia="uk-UA"/>
        </w:rPr>
      </w:pPr>
      <w:r>
        <w:rPr>
          <w:color w:val="2A6099"/>
          <w:sz w:val="32"/>
          <w:szCs w:val="32"/>
          <w:lang w:eastAsia="uk-UA"/>
        </w:rPr>
      </w:r>
    </w:p>
    <w:p>
      <w:pPr>
        <w:pStyle w:val="Normal"/>
        <w:spacing w:lineRule="auto" w:line="276"/>
        <w:ind w:firstLine="737"/>
        <w:jc w:val="both"/>
        <w:rPr/>
      </w:pPr>
      <w:r>
        <w:rPr/>
      </w:r>
    </w:p>
    <w:sectPr>
      <w:type w:val="nextPage"/>
      <w:pgSz w:w="11906" w:h="16838"/>
      <w:pgMar w:left="1134" w:right="851" w:header="0" w:top="1134" w:footer="0" w:bottom="1134"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Symbol">
    <w:charset w:val="cc"/>
    <w:family w:val="roman"/>
    <w:pitch w:val="variable"/>
  </w:font>
  <w:font w:name="OpenSymbol">
    <w:altName w:val="Arial Unicode MS"/>
    <w:charset w:val="cc"/>
    <w:family w:val="roman"/>
    <w:pitch w:val="variable"/>
  </w:font>
  <w:font w:name="Courier New">
    <w:charset w:val="cc"/>
    <w:family w:val="roman"/>
    <w:pitch w:val="variable"/>
  </w:font>
  <w:font w:name="Wingdings">
    <w:charset w:val="cc"/>
    <w:family w:val="roman"/>
    <w:pitch w:val="variable"/>
  </w:font>
  <w:font w:name="Calibri">
    <w:charset w:val="cc"/>
    <w:family w:val="roman"/>
    <w:pitch w:val="variable"/>
  </w:font>
  <w:font w:name="Segoe UI">
    <w:charset w:val="cc"/>
    <w:family w:val="roman"/>
    <w:pitch w:val="variable"/>
  </w:font>
  <w:font w:name="Liberation Sans">
    <w:altName w:val="Arial"/>
    <w:charset w:val="cc"/>
    <w:family w:val="roman"/>
    <w:pitch w:val="variable"/>
  </w:font>
  <w:font w:name="Cambria">
    <w:charset w:val="cc"/>
    <w:family w:val="roman"/>
    <w:pitch w:val="variable"/>
  </w:font>
  <w:font w:name="yandex-sans">
    <w:charset w:val="cc"/>
    <w:family w:val="roman"/>
    <w:pitch w:val="variable"/>
  </w:font>
</w:fonts>
</file>

<file path=word/settings.xml><?xml version="1.0" encoding="utf-8"?>
<w:settings xmlns:w="http://schemas.openxmlformats.org/wordprocessingml/2006/main">
  <w:zoom w:percent="100"/>
  <w:defaultTabStop w:val="708"/>
  <w:compat>
    <w:compatSetting w:name="compatibilityMode" w:uri="http://schemas.microsoft.com/office/word" w:val="12"/>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Cs w:val="24"/>
        <w:lang w:val="ru-RU" w:eastAsia="zh-CN" w:bidi="hi-IN"/>
      </w:rPr>
    </w:rPrDefault>
    <w:pPrDefault>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Body Text" w:uiPriority="0"/>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3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bidi w:val="0"/>
      <w:jc w:val="left"/>
    </w:pPr>
    <w:rPr>
      <w:rFonts w:ascii="Times New Roman" w:hAnsi="Times New Roman" w:eastAsia="Times New Roman" w:cs="Times New Roman"/>
      <w:color w:val="auto"/>
      <w:kern w:val="0"/>
      <w:sz w:val="24"/>
      <w:szCs w:val="24"/>
      <w:lang w:val="ru-RU" w:eastAsia="zh-CN" w:bidi="ar-SA"/>
    </w:rPr>
  </w:style>
  <w:style w:type="character" w:styleId="DefaultParagraphFont" w:default="1">
    <w:name w:val="Default Paragraph Font"/>
    <w:uiPriority w:val="1"/>
    <w:semiHidden/>
    <w:unhideWhenUsed/>
    <w:qFormat/>
    <w:rPr/>
  </w:style>
  <w:style w:type="character" w:styleId="WW8Num1z0" w:customStyle="1">
    <w:name w:val="WW8Num1z0"/>
    <w:qFormat/>
    <w:rPr>
      <w:rFonts w:ascii="Symbol" w:hAnsi="Symbol" w:cs="Symbol"/>
    </w:rPr>
  </w:style>
  <w:style w:type="character" w:styleId="WW8Num1z1" w:customStyle="1">
    <w:name w:val="WW8Num1z1"/>
    <w:qFormat/>
    <w:rPr>
      <w:rFonts w:ascii="OpenSymbol" w:hAnsi="OpenSymbol" w:cs="Courier New"/>
    </w:rPr>
  </w:style>
  <w:style w:type="character" w:styleId="WW8Num2z0" w:customStyle="1">
    <w:name w:val="WW8Num2z0"/>
    <w:qFormat/>
    <w:rPr>
      <w:rFonts w:ascii="Symbol" w:hAnsi="Symbol" w:cs="Symbol"/>
    </w:rPr>
  </w:style>
  <w:style w:type="character" w:styleId="WW8Num2z1" w:customStyle="1">
    <w:name w:val="WW8Num2z1"/>
    <w:qFormat/>
    <w:rPr>
      <w:rFonts w:ascii="Courier New" w:hAnsi="Courier New" w:cs="Courier New"/>
    </w:rPr>
  </w:style>
  <w:style w:type="character" w:styleId="WW8Num2z2" w:customStyle="1">
    <w:name w:val="WW8Num2z2"/>
    <w:qFormat/>
    <w:rPr>
      <w:rFonts w:ascii="Wingdings" w:hAnsi="Wingdings" w:cs="Wingdings"/>
    </w:rPr>
  </w:style>
  <w:style w:type="character" w:styleId="WW8Num3z0" w:customStyle="1">
    <w:name w:val="WW8Num3z0"/>
    <w:qFormat/>
    <w:rPr>
      <w:rFonts w:ascii="Wingdings" w:hAnsi="Wingdings" w:cs="Wingdings"/>
    </w:rPr>
  </w:style>
  <w:style w:type="character" w:styleId="WW8Num3z1" w:customStyle="1">
    <w:name w:val="WW8Num3z1"/>
    <w:qFormat/>
    <w:rPr>
      <w:rFonts w:ascii="Courier New" w:hAnsi="Courier New" w:cs="Courier New"/>
    </w:rPr>
  </w:style>
  <w:style w:type="character" w:styleId="WW8Num3z3" w:customStyle="1">
    <w:name w:val="WW8Num3z3"/>
    <w:qFormat/>
    <w:rPr>
      <w:rFonts w:ascii="Symbol" w:hAnsi="Symbol" w:cs="Symbol"/>
    </w:rPr>
  </w:style>
  <w:style w:type="character" w:styleId="WW8Num4z0" w:customStyle="1">
    <w:name w:val="WW8Num4z0"/>
    <w:qFormat/>
    <w:rPr>
      <w:rFonts w:cs="Times New Roman"/>
    </w:rPr>
  </w:style>
  <w:style w:type="character" w:styleId="WW8Num4z1" w:customStyle="1">
    <w:name w:val="WW8Num4z1"/>
    <w:qFormat/>
    <w:rPr>
      <w:rFonts w:cs="Times New Roman"/>
    </w:rPr>
  </w:style>
  <w:style w:type="character" w:styleId="WW8Num5z0" w:customStyle="1">
    <w:name w:val="WW8Num5z0"/>
    <w:qFormat/>
    <w:rPr>
      <w:rFonts w:ascii="Symbol" w:hAnsi="Symbol" w:cs="Symbol"/>
    </w:rPr>
  </w:style>
  <w:style w:type="character" w:styleId="WW8Num5z1" w:customStyle="1">
    <w:name w:val="WW8Num5z1"/>
    <w:qFormat/>
    <w:rPr>
      <w:rFonts w:ascii="Courier New" w:hAnsi="Courier New" w:cs="Courier New"/>
    </w:rPr>
  </w:style>
  <w:style w:type="character" w:styleId="WW8Num5z2" w:customStyle="1">
    <w:name w:val="WW8Num5z2"/>
    <w:qFormat/>
    <w:rPr>
      <w:rFonts w:ascii="Wingdings" w:hAnsi="Wingdings" w:cs="Wingdings"/>
    </w:rPr>
  </w:style>
  <w:style w:type="character" w:styleId="WW8Num6z0" w:customStyle="1">
    <w:name w:val="WW8Num6z0"/>
    <w:qFormat/>
    <w:rPr>
      <w:rFonts w:ascii="Symbol" w:hAnsi="Symbol" w:cs="Symbol"/>
      <w:sz w:val="20"/>
    </w:rPr>
  </w:style>
  <w:style w:type="character" w:styleId="WW8Num6z1" w:customStyle="1">
    <w:name w:val="WW8Num6z1"/>
    <w:qFormat/>
    <w:rPr>
      <w:rFonts w:ascii="Courier New" w:hAnsi="Courier New" w:cs="Courier New"/>
      <w:sz w:val="20"/>
    </w:rPr>
  </w:style>
  <w:style w:type="character" w:styleId="WW8Num6z2" w:customStyle="1">
    <w:name w:val="WW8Num6z2"/>
    <w:qFormat/>
    <w:rPr>
      <w:rFonts w:ascii="Wingdings" w:hAnsi="Wingdings" w:cs="Wingdings"/>
      <w:sz w:val="20"/>
    </w:rPr>
  </w:style>
  <w:style w:type="character" w:styleId="S2" w:customStyle="1">
    <w:name w:val="s2"/>
    <w:basedOn w:val="DefaultParagraphFont"/>
    <w:qFormat/>
    <w:rPr/>
  </w:style>
  <w:style w:type="character" w:styleId="NoSpacingChar" w:customStyle="1">
    <w:name w:val="No Spacing Char"/>
    <w:qFormat/>
    <w:rPr>
      <w:rFonts w:ascii="Calibri" w:hAnsi="Calibri" w:cs="Calibri"/>
      <w:sz w:val="22"/>
      <w:szCs w:val="22"/>
      <w:lang w:val="ru-RU" w:bidi="ar-SA"/>
    </w:rPr>
  </w:style>
  <w:style w:type="character" w:styleId="Appleconvertedspace" w:customStyle="1">
    <w:name w:val="apple-converted-space"/>
    <w:basedOn w:val="DefaultParagraphFont"/>
    <w:qFormat/>
    <w:rPr/>
  </w:style>
  <w:style w:type="character" w:styleId="C5" w:customStyle="1">
    <w:name w:val="c5"/>
    <w:qFormat/>
    <w:rPr>
      <w:rFonts w:cs="Times New Roman"/>
    </w:rPr>
  </w:style>
  <w:style w:type="character" w:styleId="C3" w:customStyle="1">
    <w:name w:val="c3"/>
    <w:qFormat/>
    <w:rPr>
      <w:rFonts w:cs="Times New Roman"/>
    </w:rPr>
  </w:style>
  <w:style w:type="character" w:styleId="Style14" w:customStyle="1">
    <w:name w:val="Выделение жирным"/>
    <w:qFormat/>
    <w:rPr>
      <w:rFonts w:cs="Times New Roman"/>
      <w:b/>
      <w:bCs/>
    </w:rPr>
  </w:style>
  <w:style w:type="character" w:styleId="Style15" w:customStyle="1">
    <w:name w:val="Интернет-ссылка"/>
    <w:rPr>
      <w:rFonts w:cs="Times New Roman"/>
      <w:color w:val="0000FF"/>
      <w:u w:val="single"/>
    </w:rPr>
  </w:style>
  <w:style w:type="character" w:styleId="S3" w:customStyle="1">
    <w:name w:val="s3"/>
    <w:qFormat/>
    <w:rPr>
      <w:rFonts w:cs="Times New Roman"/>
    </w:rPr>
  </w:style>
  <w:style w:type="character" w:styleId="Style16" w:customStyle="1">
    <w:name w:val="Знак Знак"/>
    <w:qFormat/>
    <w:rPr>
      <w:rFonts w:ascii="Segoe UI" w:hAnsi="Segoe UI" w:cs="Segoe UI"/>
      <w:sz w:val="18"/>
      <w:szCs w:val="18"/>
    </w:rPr>
  </w:style>
  <w:style w:type="character" w:styleId="Style17" w:customStyle="1">
    <w:name w:val="Маркеры списка"/>
    <w:qFormat/>
    <w:rPr>
      <w:rFonts w:ascii="OpenSymbol" w:hAnsi="OpenSymbol" w:eastAsia="OpenSymbol" w:cs="OpenSymbol"/>
    </w:rPr>
  </w:style>
  <w:style w:type="character" w:styleId="Style18" w:customStyle="1">
    <w:name w:val="Основной текст Знак"/>
    <w:basedOn w:val="DefaultParagraphFont"/>
    <w:qFormat/>
    <w:rsid w:val="00592bfd"/>
    <w:rPr>
      <w:rFonts w:ascii="Times New Roman" w:hAnsi="Times New Roman" w:eastAsia="Times New Roman" w:cs="Times New Roman"/>
      <w:sz w:val="24"/>
      <w:lang w:bidi="ar-SA"/>
    </w:rPr>
  </w:style>
  <w:style w:type="character" w:styleId="Style19" w:customStyle="1">
    <w:name w:val="Символ нумерации"/>
    <w:qFormat/>
    <w:rPr/>
  </w:style>
  <w:style w:type="paragraph" w:styleId="Style20" w:customStyle="1">
    <w:name w:val="Заголовок"/>
    <w:basedOn w:val="Normal"/>
    <w:next w:val="Style21"/>
    <w:qFormat/>
    <w:pPr>
      <w:keepNext w:val="true"/>
      <w:spacing w:before="240" w:after="120"/>
    </w:pPr>
    <w:rPr>
      <w:rFonts w:ascii="Liberation Sans" w:hAnsi="Liberation Sans" w:eastAsia="Microsoft YaHei" w:cs="Arial"/>
      <w:sz w:val="28"/>
      <w:szCs w:val="28"/>
    </w:rPr>
  </w:style>
  <w:style w:type="paragraph" w:styleId="Style21">
    <w:name w:val="Body Text"/>
    <w:basedOn w:val="Normal"/>
    <w:pPr>
      <w:spacing w:lineRule="auto" w:line="276" w:before="0" w:after="140"/>
    </w:pPr>
    <w:rPr/>
  </w:style>
  <w:style w:type="paragraph" w:styleId="Style22">
    <w:name w:val="List"/>
    <w:basedOn w:val="Style21"/>
    <w:pPr/>
    <w:rPr>
      <w:rFonts w:cs="Arial"/>
    </w:rPr>
  </w:style>
  <w:style w:type="paragraph" w:styleId="Style23">
    <w:name w:val="Caption"/>
    <w:basedOn w:val="Normal"/>
    <w:qFormat/>
    <w:pPr>
      <w:suppressLineNumbers/>
      <w:spacing w:before="120" w:after="120"/>
    </w:pPr>
    <w:rPr>
      <w:rFonts w:cs="Arial"/>
      <w:i/>
      <w:iCs/>
      <w:sz w:val="24"/>
      <w:szCs w:val="24"/>
    </w:rPr>
  </w:style>
  <w:style w:type="paragraph" w:styleId="Style24">
    <w:name w:val="Указатель"/>
    <w:basedOn w:val="Normal"/>
    <w:qFormat/>
    <w:pPr>
      <w:suppressLineNumbers/>
    </w:pPr>
    <w:rPr>
      <w:rFonts w:cs="Arial"/>
    </w:rPr>
  </w:style>
  <w:style w:type="paragraph" w:styleId="Caption">
    <w:name w:val="caption"/>
    <w:basedOn w:val="Normal"/>
    <w:qFormat/>
    <w:pPr>
      <w:suppressLineNumbers/>
      <w:spacing w:before="120" w:after="120"/>
    </w:pPr>
    <w:rPr>
      <w:rFonts w:cs="Arial"/>
      <w:i/>
      <w:iCs/>
    </w:rPr>
  </w:style>
  <w:style w:type="paragraph" w:styleId="Indexheading">
    <w:name w:val="index heading"/>
    <w:basedOn w:val="Normal"/>
    <w:qFormat/>
    <w:pPr>
      <w:suppressLineNumbers/>
    </w:pPr>
    <w:rPr>
      <w:rFonts w:cs="Arial"/>
    </w:rPr>
  </w:style>
  <w:style w:type="paragraph" w:styleId="P1" w:customStyle="1">
    <w:name w:val="p1"/>
    <w:basedOn w:val="Normal"/>
    <w:qFormat/>
    <w:pPr>
      <w:spacing w:before="280" w:after="280"/>
    </w:pPr>
    <w:rPr/>
  </w:style>
  <w:style w:type="paragraph" w:styleId="P2" w:customStyle="1">
    <w:name w:val="p2"/>
    <w:basedOn w:val="Normal"/>
    <w:qFormat/>
    <w:pPr>
      <w:spacing w:before="280" w:after="280"/>
    </w:pPr>
    <w:rPr/>
  </w:style>
  <w:style w:type="paragraph" w:styleId="P3" w:customStyle="1">
    <w:name w:val="p3"/>
    <w:basedOn w:val="Normal"/>
    <w:qFormat/>
    <w:pPr>
      <w:spacing w:before="280" w:after="280"/>
    </w:pPr>
    <w:rPr/>
  </w:style>
  <w:style w:type="paragraph" w:styleId="NoSpacing">
    <w:name w:val="No Spacing"/>
    <w:qFormat/>
    <w:pPr>
      <w:widowControl/>
      <w:bidi w:val="0"/>
      <w:jc w:val="left"/>
    </w:pPr>
    <w:rPr>
      <w:rFonts w:ascii="Times New Roman" w:hAnsi="Times New Roman" w:eastAsia="Times New Roman" w:cs="Times New Roman"/>
      <w:color w:val="auto"/>
      <w:kern w:val="0"/>
      <w:sz w:val="24"/>
      <w:szCs w:val="24"/>
      <w:lang w:val="ru-RU" w:eastAsia="zh-CN" w:bidi="ar-SA"/>
    </w:rPr>
  </w:style>
  <w:style w:type="paragraph" w:styleId="P4" w:customStyle="1">
    <w:name w:val="p4"/>
    <w:basedOn w:val="Normal"/>
    <w:qFormat/>
    <w:pPr>
      <w:spacing w:before="280" w:after="280"/>
    </w:pPr>
    <w:rPr/>
  </w:style>
  <w:style w:type="paragraph" w:styleId="P5" w:customStyle="1">
    <w:name w:val="p5"/>
    <w:basedOn w:val="Normal"/>
    <w:qFormat/>
    <w:pPr>
      <w:spacing w:before="280" w:after="280"/>
    </w:pPr>
    <w:rPr/>
  </w:style>
  <w:style w:type="paragraph" w:styleId="C2" w:customStyle="1">
    <w:name w:val="c2"/>
    <w:basedOn w:val="Normal"/>
    <w:qFormat/>
    <w:pPr>
      <w:spacing w:before="280" w:after="280"/>
    </w:pPr>
    <w:rPr>
      <w:rFonts w:eastAsia="Cambria"/>
    </w:rPr>
  </w:style>
  <w:style w:type="paragraph" w:styleId="C18" w:customStyle="1">
    <w:name w:val="c18"/>
    <w:basedOn w:val="Normal"/>
    <w:qFormat/>
    <w:pPr>
      <w:spacing w:before="280" w:after="280"/>
    </w:pPr>
    <w:rPr>
      <w:rFonts w:eastAsia="Cambria"/>
    </w:rPr>
  </w:style>
  <w:style w:type="paragraph" w:styleId="ListParagraph">
    <w:name w:val="List Paragraph"/>
    <w:basedOn w:val="Normal"/>
    <w:qFormat/>
    <w:pPr>
      <w:spacing w:lineRule="auto" w:line="276" w:before="0" w:after="200"/>
      <w:ind w:left="720" w:hanging="0"/>
      <w:contextualSpacing/>
    </w:pPr>
    <w:rPr>
      <w:rFonts w:ascii="Cambria" w:hAnsi="Cambria" w:cs="Cambria"/>
      <w:sz w:val="22"/>
      <w:szCs w:val="22"/>
    </w:rPr>
  </w:style>
  <w:style w:type="paragraph" w:styleId="1" w:customStyle="1">
    <w:name w:val="Без интервала1"/>
    <w:qFormat/>
    <w:pPr>
      <w:widowControl/>
      <w:bidi w:val="0"/>
      <w:jc w:val="left"/>
    </w:pPr>
    <w:rPr>
      <w:rFonts w:ascii="Calibri" w:hAnsi="Calibri" w:eastAsia="Calibri" w:cs="Calibri"/>
      <w:color w:val="auto"/>
      <w:kern w:val="0"/>
      <w:sz w:val="22"/>
      <w:szCs w:val="22"/>
      <w:lang w:val="ru-RU" w:eastAsia="zh-CN" w:bidi="ar-SA"/>
    </w:rPr>
  </w:style>
  <w:style w:type="paragraph" w:styleId="NormalWeb">
    <w:name w:val="Normal (Web)"/>
    <w:basedOn w:val="Normal"/>
    <w:qFormat/>
    <w:pPr>
      <w:spacing w:before="280" w:after="280"/>
    </w:pPr>
    <w:rPr>
      <w:rFonts w:eastAsia="Calibri"/>
    </w:rPr>
  </w:style>
  <w:style w:type="paragraph" w:styleId="Western" w:customStyle="1">
    <w:name w:val="western"/>
    <w:basedOn w:val="Normal"/>
    <w:qFormat/>
    <w:pPr>
      <w:spacing w:before="280" w:after="280"/>
    </w:pPr>
    <w:rPr>
      <w:rFonts w:eastAsia="Calibri"/>
    </w:rPr>
  </w:style>
  <w:style w:type="paragraph" w:styleId="P7" w:customStyle="1">
    <w:name w:val="p7"/>
    <w:basedOn w:val="Normal"/>
    <w:qFormat/>
    <w:pPr>
      <w:spacing w:before="280" w:after="280"/>
    </w:pPr>
    <w:rPr>
      <w:rFonts w:eastAsia="Calibri"/>
    </w:rPr>
  </w:style>
  <w:style w:type="paragraph" w:styleId="BalloonText">
    <w:name w:val="Balloon Text"/>
    <w:basedOn w:val="Normal"/>
    <w:qFormat/>
    <w:pPr/>
    <w:rPr>
      <w:rFonts w:ascii="Segoe UI" w:hAnsi="Segoe UI" w:cs="Segoe UI"/>
      <w:sz w:val="18"/>
      <w:szCs w:val="18"/>
    </w:rPr>
  </w:style>
  <w:style w:type="paragraph" w:styleId="Style25" w:customStyle="1">
    <w:name w:val="Содержимое таблицы"/>
    <w:basedOn w:val="Normal"/>
    <w:qFormat/>
    <w:pPr>
      <w:suppressLineNumbers/>
    </w:pPr>
    <w:rPr/>
  </w:style>
  <w:style w:type="paragraph" w:styleId="Style26" w:customStyle="1">
    <w:name w:val="Заголовок таблицы"/>
    <w:basedOn w:val="Style25"/>
    <w:qFormat/>
    <w:pPr>
      <w:jc w:val="center"/>
    </w:pPr>
    <w:rPr>
      <w:b/>
      <w:bCs/>
    </w:rPr>
  </w:style>
  <w:style w:type="numbering" w:styleId="NoList" w:default="1">
    <w:name w:val="No List"/>
    <w:uiPriority w:val="99"/>
    <w:semiHidden/>
    <w:unhideWhenUsed/>
    <w:qFormat/>
  </w:style>
  <w:style w:type="numbering" w:styleId="WW8Num1" w:customStyle="1">
    <w:name w:val="WW8Num1"/>
    <w:qFormat/>
  </w:style>
  <w:style w:type="numbering" w:styleId="WW8Num2" w:customStyle="1">
    <w:name w:val="WW8Num2"/>
    <w:qFormat/>
  </w:style>
  <w:style w:type="numbering" w:styleId="WW8Num3" w:customStyle="1">
    <w:name w:val="WW8Num3"/>
    <w:qFormat/>
  </w:style>
  <w:style w:type="numbering" w:styleId="WW8Num4" w:customStyle="1">
    <w:name w:val="WW8Num4"/>
    <w:qFormat/>
  </w:style>
  <w:style w:type="numbering" w:styleId="WW8Num5" w:customStyle="1">
    <w:name w:val="WW8Num5"/>
    <w:qFormat/>
  </w:style>
  <w:style w:type="numbering" w:styleId="WW8Num6" w:customStyle="1">
    <w:name w:val="WW8Num6"/>
    <w:qFormat/>
  </w:style>
  <w:style w:type="table" w:default="1" w:styleId="a1">
    <w:name w:val="Normal Table"/>
    <w:uiPriority w:val="99"/>
    <w:semiHidden/>
    <w:unhideWhenUsed/>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Relationship Id="rId4"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687</TotalTime>
  <Application>LibreOffice/6.1.4.2$Windows_X86_64 LibreOffice_project/9d0f32d1f0b509096fd65e0d4bec26ddd1938fd3</Application>
  <Pages>17</Pages>
  <Words>3950</Words>
  <Characters>27002</Characters>
  <CharactersWithSpaces>31015</CharactersWithSpaces>
  <Paragraphs>141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2018-08-27T07:58:00Z</dcterms:created>
  <dc:creator>Admin</dc:creator>
  <dc:description/>
  <dc:language>ru-RU</dc:language>
  <cp:lastModifiedBy/>
  <cp:lastPrinted>2019-08-26T11:46:58Z</cp:lastPrinted>
  <dcterms:modified xsi:type="dcterms:W3CDTF">2019-08-26T18:43:07Z</dcterms:modified>
  <cp:revision>110</cp:revision>
  <dc:subject/>
  <dc:title>Доклад на августовскую конференцию 2016 года</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