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55"/>
        <w:bidi w:val="0"/>
        <w:ind w:left="0" w:right="0" w:hanging="0"/>
        <w:jc w:val="left"/>
        <w:rPr/>
      </w:pPr>
      <w:r>
        <w:rPr/>
        <w:t>Зарегистрировано в Минюсте РФ 28 января 2014 г.</w:t>
      </w:r>
    </w:p>
    <w:p>
      <w:pPr>
        <w:pStyle w:val="Style55"/>
        <w:bidi w:val="0"/>
        <w:ind w:left="0" w:right="0" w:hanging="0"/>
        <w:jc w:val="left"/>
        <w:rPr/>
      </w:pPr>
      <w:r>
        <w:rPr/>
        <w:t>Регистрационный № 31135</w:t>
      </w:r>
    </w:p>
    <w:p>
      <w:pPr>
        <w:pStyle w:val="1"/>
        <w:bidi w:val="0"/>
        <w:ind w:left="0" w:right="0" w:hanging="0"/>
        <w:rPr>
          <w:rFonts w:ascii="Times New Roman" w:hAnsi="Times New Roman"/>
          <w:lang w:val="en-US"/>
        </w:rPr>
      </w:pPr>
      <w:r>
        <w:rPr>
          <w:lang w:val="en-US"/>
        </w:rPr>
      </w:r>
    </w:p>
    <w:p>
      <w:pPr>
        <w:pStyle w:val="1"/>
        <w:bidi w:val="0"/>
        <w:ind w:left="0" w:right="0" w:hanging="0"/>
        <w:rPr/>
      </w:pPr>
      <w:r>
        <w:rPr/>
        <w:t>Приказ Министерства образования и науки РФ от 10 декабря 2013 г. № 1324</w:t>
      </w:r>
      <w:r>
        <w:rPr/>
        <w:br/>
      </w:r>
      <w:r>
        <w:rPr/>
        <w:t>"Об утверждении показателей деятельности образовательной организации, подлежащей самообследованию"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rPr/>
      </w:pPr>
      <w:r>
        <w:rPr/>
        <w:t>В соответствии с пунктом 3 части 2 статьи 29 Федерального закона от 29 декабря 2012 г. № 273-ФЗ “Об образовании в Российской Федерации”(Собрание законодательства Российской Федерации, 2012, № 53, ст. 7598; 2013, № 19, ст. 2326; № 23, ст. 2878; № 30, ст. 4036; № 48, ст. 6165) и подпунктом 5.2.15 Положения о Министерстве образования и науки Российской Федерации, утвержденного постановлением Правительства Российской Федерации от 3 июня 2013 г. № 466 (Собрание законодательства Российской Федерации, 2013, № 23, ст. 2923; № 33, ст. 4386; № 37, ст. 4702), приказываю:</w:t>
      </w:r>
    </w:p>
    <w:p>
      <w:pPr>
        <w:pStyle w:val="Normal"/>
        <w:bidi w:val="0"/>
        <w:ind w:left="0" w:right="0" w:firstLine="720"/>
        <w:rPr/>
      </w:pPr>
      <w:r>
        <w:rPr/>
        <w:t>Утвердить:</w:t>
      </w:r>
    </w:p>
    <w:p>
      <w:pPr>
        <w:pStyle w:val="Normal"/>
        <w:bidi w:val="0"/>
        <w:ind w:left="0" w:right="0" w:firstLine="720"/>
        <w:rPr/>
      </w:pPr>
      <w:r>
        <w:rPr/>
        <w:t>показатели деятельности дошкольной образовательной организации, подлежащей самообследованию (приложение № 1);</w:t>
      </w:r>
    </w:p>
    <w:p>
      <w:pPr>
        <w:pStyle w:val="Normal"/>
        <w:bidi w:val="0"/>
        <w:ind w:left="0" w:right="0" w:firstLine="720"/>
        <w:rPr/>
      </w:pPr>
      <w:r>
        <w:rPr/>
        <w:t>показатели деятельности общеобразовательной организации, подлежащей самообследованию (приложение № 2);</w:t>
      </w:r>
    </w:p>
    <w:p>
      <w:pPr>
        <w:pStyle w:val="Normal"/>
        <w:bidi w:val="0"/>
        <w:ind w:left="0" w:right="0" w:firstLine="720"/>
        <w:rPr/>
      </w:pPr>
      <w:r>
        <w:rPr/>
        <w:t>показатели деятельности профессиональной образовательной организации, подлежащей самообследованию (приложение № 3);</w:t>
      </w:r>
    </w:p>
    <w:p>
      <w:pPr>
        <w:pStyle w:val="Normal"/>
        <w:bidi w:val="0"/>
        <w:ind w:left="0" w:right="0" w:firstLine="720"/>
        <w:rPr/>
      </w:pPr>
      <w:r>
        <w:rPr/>
        <w:t>показатели деятельности образовательной организации высшего образования, подлежащей самообследованию (приложение № 4);</w:t>
      </w:r>
    </w:p>
    <w:p>
      <w:pPr>
        <w:pStyle w:val="Normal"/>
        <w:bidi w:val="0"/>
        <w:ind w:left="0" w:right="0" w:firstLine="720"/>
        <w:rPr/>
      </w:pPr>
      <w:r>
        <w:rPr/>
        <w:t>показатели деятельности организации дополнительного образования, подлежащей самообследованию (приложение № 5);</w:t>
      </w:r>
    </w:p>
    <w:p>
      <w:pPr>
        <w:pStyle w:val="Normal"/>
        <w:bidi w:val="0"/>
        <w:ind w:left="0" w:right="0" w:firstLine="720"/>
        <w:rPr/>
      </w:pPr>
      <w:r>
        <w:rPr/>
        <w:t>показатели деятельности организации дополнительного профессионального образования, подлежащей самообследованию (приложение № 6).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3"/>
        <w:gridCol w:w="3401"/>
      </w:tblGrid>
      <w:tr>
        <w:trPr/>
        <w:tc>
          <w:tcPr>
            <w:tcW w:w="6803" w:type="dxa"/>
            <w:tcBorders/>
          </w:tcPr>
          <w:p>
            <w:pPr>
              <w:pStyle w:val="Style40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/>
            </w:pPr>
            <w:r>
              <w:rPr/>
              <w:t>Министр</w:t>
            </w:r>
          </w:p>
        </w:tc>
        <w:tc>
          <w:tcPr>
            <w:tcW w:w="3401" w:type="dxa"/>
            <w:tcBorders/>
          </w:tcPr>
          <w:p>
            <w:pPr>
              <w:pStyle w:val="Style42"/>
              <w:widowControl w:val="false"/>
              <w:tabs>
                <w:tab w:val="clear" w:pos="720"/>
              </w:tabs>
              <w:bidi w:val="0"/>
              <w:ind w:left="0" w:right="0" w:hanging="0"/>
              <w:jc w:val="right"/>
              <w:rPr/>
            </w:pPr>
            <w:r>
              <w:rPr/>
              <w:t>Д.В. Ливанов</w:t>
            </w:r>
          </w:p>
        </w:tc>
      </w:tr>
    </w:tbl>
    <w:p>
      <w:pPr>
        <w:sectPr>
          <w:type w:val="nextPage"/>
          <w:pgSz w:w="11906" w:h="16838"/>
          <w:pgMar w:left="850" w:right="850" w:gutter="0" w:header="0" w:top="1440" w:footer="0" w:bottom="1440"/>
          <w:pgNumType w:fmt="decimal"/>
          <w:formProt w:val="false"/>
          <w:textDirection w:val="lrTb"/>
          <w:docGrid w:type="default" w:linePitch="100" w:charSpace="0"/>
        </w:sectPr>
        <w:pStyle w:val="Normal"/>
        <w:widowControl w:val="false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 № 1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ind w:left="0" w:right="0" w:hanging="0"/>
        <w:rPr/>
      </w:pPr>
      <w:r>
        <w:rPr/>
        <w:t>Показатели</w:t>
      </w:r>
      <w:r>
        <w:rPr/>
        <w:br/>
      </w:r>
      <w:r>
        <w:rPr/>
        <w:t>деятельности дошкольной образовательной организации, подлежащей самообследованию</w:t>
      </w:r>
      <w:r>
        <w:rPr/>
        <w:br/>
      </w:r>
      <w:r>
        <w:rPr/>
        <w:t>(утв. приказом Министерства образования и науки РФ от 10 декабря 2013 г. № 1324)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5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59"/>
        <w:gridCol w:w="2381"/>
      </w:tblGrid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Показатели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Образовательная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режиме полного дня (8-12 часов)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режиме кратковременного пребывания (3-5 часов)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семейной дошкольной группе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воспитанников в возрасте до 3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воспитанников в возрасте от 3 до 8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режиме полного дня (8-12 часов)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режиме продленного дня (12-14 часов)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 режиме круглосуточного пребывания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коррекции недостатков в физическом и (или) психическом развитии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освоению образовательной программы дошкольного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присмотру и уходу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день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Высшая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Первая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 5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Свыше 30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Соотношение “педагогический работник/воспитанник”в дошкольной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Музыкального руководителя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Инструктора по физической культуре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Учителя-логопеда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Логопеда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Учителя- дефектолога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Педагога-психолога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Инфраструктура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физкультурного зала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музыкального зала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</w:tbl>
    <w:p>
      <w:pPr>
        <w:pStyle w:val="Normal"/>
        <w:widowControl w:val="false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 № 2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ind w:left="0" w:right="0" w:hanging="0"/>
        <w:rPr/>
      </w:pPr>
      <w:r>
        <w:rPr/>
        <w:t>Показатели</w:t>
      </w:r>
      <w:r>
        <w:rPr/>
        <w:br/>
      </w:r>
      <w:r>
        <w:rPr/>
        <w:t>деятельности общеобразовательной организации, подлежащей самообследованию</w:t>
      </w:r>
      <w:r>
        <w:rPr/>
        <w:br/>
      </w:r>
      <w:r>
        <w:rPr/>
        <w:t>(утв. приказом Министерства образования и науки РФ от 10 декабря 2013 г. № 1324)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5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59"/>
        <w:gridCol w:w="2381"/>
      </w:tblGrid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Показатели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Образовательная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успевающих на “4”и “5”по результатам промежуточной аттестации,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учащихся-победителей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1.19.1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Регионального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1.19.2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Федерального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человек/%)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1.19.3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Международного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1.29.1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Высшая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1.29.2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Первая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1.30.1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 5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1.30.2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Свыше 30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Инфраструктура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компьютеров в расчете на одного учащегося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читального зала библиотеки,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медиатекой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Оснащенного средствами сканирования и распознавания текстов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выходом в Интернет с компьютеров, расположенных в помещении библиотеки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контролируемой распечаткой бумажных материалов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</w:t>
            </w:r>
          </w:p>
        </w:tc>
      </w:tr>
    </w:tbl>
    <w:p>
      <w:pPr>
        <w:pStyle w:val="Normal"/>
        <w:widowControl w:val="false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 № 3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ind w:left="0" w:right="0" w:hanging="0"/>
        <w:rPr/>
      </w:pPr>
      <w:r>
        <w:rPr/>
        <w:t>Показатели</w:t>
      </w:r>
      <w:r>
        <w:rPr/>
        <w:br/>
      </w:r>
      <w:r>
        <w:rPr/>
        <w:t>деятельности профессиональной образовательной организации, подлежащей самообследованию</w:t>
      </w:r>
      <w:r>
        <w:rPr/>
        <w:br/>
      </w:r>
      <w:r>
        <w:rPr/>
        <w:t>(утв. приказом Министерства образования и науки РФ от 10 декабря 2013 г. № 1324)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5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59"/>
        <w:gridCol w:w="2381"/>
      </w:tblGrid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Показатели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Образовательная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студентов (курсантов), обучающихся по образовательным программам подготовки квалифицированных рабочих, служащих,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студентов (курсантов), обучающихся по образовательным программам подготовки специалистов среднего звена,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реализуемых образовательных программ среднего профессионального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студентов (курсантов), зачисленных на первый курс на очную форму обучения, за отчетный период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 из числа инвалидов и обучающихся с ограниченными возможностями здоровья, в общей численности студентов (курсантов)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выпускников, прошедших государственную итоговую аттестацию и получивших оценки “хорошо”и “отлично”, в общей численности выпускников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(курсантов), ставших победителями и призерами олимпиад, конкурсов профессионального мастерства федерального и международного уровней, в общей численности студентов (курсантов)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(курсантов), обучающихся по очной форме обучения, получающих государственную академическую стипендию, в общей численности студентов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Высшая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Первая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прошедших повышение квалификации/профессиональную переподготовку за последние 3 года,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участвующих в международных проектах и ассоциациях,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студентов (курсантов) образовательной организации, обучающихся в филиале образовательной организации (далее - филиал)*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Финансово-экономическая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по всем видам финансового обеспечения (деятельности) в расчете на одного 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из средств от приносящей доход деятельности в расчете на одного 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Отношение среднего заработка педагогического работника в образовательной организации (по всем видам финансового обеспечения (деятельности)) к средней заработной плате по экономике региона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Инфраструктура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площадь помещений, в которых осуществляется образовательная деятельность, в расчете на одного студента (курсанта)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компьютеров со сроком эксплуатации не более 5 лет в расчете на одного студента (курсанта)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</w:tbl>
    <w:p>
      <w:pPr>
        <w:pStyle w:val="OEM"/>
        <w:widowControl w:val="false"/>
        <w:bidi w:val="0"/>
        <w:ind w:left="0" w:right="0" w:hanging="0"/>
        <w:jc w:val="left"/>
        <w:rPr/>
      </w:pPr>
      <w:r>
        <w:rPr/>
        <w:t>_____________________________</w:t>
      </w:r>
    </w:p>
    <w:p>
      <w:pPr>
        <w:pStyle w:val="Normal"/>
        <w:bidi w:val="0"/>
        <w:ind w:left="0" w:right="0" w:firstLine="720"/>
        <w:rPr/>
      </w:pPr>
      <w:r>
        <w:rPr/>
        <w:t>* Заполняется для каждого филиала отдельно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 № 4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ind w:left="0" w:right="0" w:hanging="0"/>
        <w:rPr/>
      </w:pPr>
      <w:r>
        <w:rPr/>
        <w:t>Показатели</w:t>
      </w:r>
      <w:r>
        <w:rPr/>
        <w:br/>
      </w:r>
      <w:r>
        <w:rPr/>
        <w:t>деятельности образовательной организации высшего образования, подлежащей самообследованию</w:t>
      </w:r>
      <w:r>
        <w:rPr/>
        <w:br/>
      </w:r>
      <w:r>
        <w:rPr/>
        <w:t>(утв. приказом Министерства образования и науки РФ от 10 декабря 2013 г. № 1324)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5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59"/>
        <w:gridCol w:w="2381"/>
      </w:tblGrid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Показатели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Образовательная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студентов (курсантов), обучающихся по образовательным программам бакалавриата, программам специалитета, программам магистратуры,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аспирантов (адъюнктов, ординаторов, интернов, ассистентов-стажеров), обучающихся по образовательным программам подготовки научно-педагогических кадров в аспирантуре (адъюнктуре), программам ординатуры, программам ассистентуры-стажировки,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студентов (курсантов), обучающихся по образовательным программам среднего профессионального образования,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студентов (курсантов), принятых по результатам единого государственного экзамена на первый курс на обучение по очной форме по программам бакалавриата и специалитета по договору об образовании на обучение по образовательным программам высшего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баллы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студентов (курсантов), принятых по результатам дополнительных вступительных испытаний на первый курс на обучение по очной форме по программам бакалавриата и специалитета по договору об образовании на обучение по образовательным программам высшего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баллы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балл студентов (курсантов), принятых по результатам единого государственного экзамена и результатам дополнительных вступительных испытаний на обучение по очной форме по программам бакалавриата и специалитета за счет средств соответствующих бюджетов бюджетной системы Российской Федерации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баллы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студентов (курсантов)-победителей и призеров заключительного этапа всероссийской олимпиады школьников, членов сборных команд Российской Федерации, участвовавших в международных олимпиадах по общеобразовательным предметам по специальностям и (или) направлениям подготовки, соответствующим профилю всероссийской олимпиады школьников или международной олимпиады, принятых на очную форму обучения на первый курс по программам бакалавриата и специалитета без вступительных испытаний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студентов (курсантов) - победителей и призеров олимпиад школьников, принятых на очную форму обучения на первый курс по программам бакалавриата и специалитета по специальностям и направлениям подготовки, соответствующим профилю олимпиады школьников, без вступительных испытаний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(курсантов), принятых на условиях целевого приема на первый курс на очную форму обучения по программам бакалавриата и специалитета в общей численности студентов (курсантов), принятых на первый курс по программам бакалавриата и специалитета на очную форму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численности студентов (курсантов), обучающихся по программам магистратуры, в общей численности студентов (курсантов), обучающихся по образовательным программам бакалавриата, программам специалитета, программам магистратуры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(курсантов), имеющих диплом бакалавра, диплом специалиста или диплом магистра других организаций, осуществляющих образовательную деятельность, принятых на первый курс на обучение по программам магистратуры образовательной организации, в общей численности студентов (курсантов), принятых на первый курс по программам магистратуры на очную форму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студентов образовательной организации, обучающихся в филиале образовательной организации (далее - филиал)*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Научно-исследовательская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цитирований в индексируемой системе цитирования Web of Science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цитирований в индексируемой системе цитирования Scopus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цитирований в Российском индексе научного цитирования (далее - РИНЦ)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статей в научной периодике, индексируемой в системе цитирования Web of Science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статей в научной периодике, индексируемой в системе цитирования Scopus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публикаций в РИНЦ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Общий объем научно-исследовательских, опытно-конструкторских и технологических работ (далее - НИОКР)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Объем НИОКР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доходов от НИОКР в общих доходах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НИОКР, выполненных собственными силами (без привлечения соисполнителей), в общих доходах образовательной организации от НИОКР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от НИОКР (за исключением средств бюджетов бюджетной системы Российской Федерации, государственных фондов поддержки науки)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лицензионных соглашений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средств, полученных образовательной организацией от управления объектами интеллектуальной собственности, в общих доходах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 без ученой степени - до 30 лет, кандидатов наук - до 35 лет, докторов наук - до 40 лет, в общей численности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работников, имеющих ученую степень кандидата наук, в общей численности научно-педагогических работников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работников, имеющих ученую степень доктора наук, в общей численности научно-педагогических работников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работников, имеющих ученую степень кандидата и доктора наук в общей численности научно-педагогических работников филиала (без совместителей и работающих по договорам гражданско-правового характера)*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научных журналов, в том числе электронных, издаваемых образовательной организацией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грантов за отчетный период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Международная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студентов (курсантов) (кроме стран Содружества Независимых Государств (далее - СНГ), обучающихся по образовательным программам бакалавриата, программам специалитета, программам магистратуры, в общей численности студентов (курсантов),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студентов (курсантов) из стран СНГ, обучающихся по образовательным программам бакалавриата, программам специалитета, программам магистратуры, в общей численности студентов (курсантов),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очно-заочной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По заочной форме обучения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студентов (курсантов) (кроме стран СНГ), завершивших освоение образовательных программ бакалавриата, программ специалитета, программ магистратуры, в общем выпуске студентов (курсантов)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студентов (курсантов) из стран СНГ, завершивших освоение образовательных программ бакалавриата, программ специалитета, программ магистратуры, в общем выпуске студентов (курсантов)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 образовательной организации, обучающихся по очной форме обучения по образовательным программам бакалавриата, программам специалитета, программам магистратуры, прошедших обучение за рубежом не менее семестра (триместра), в общей численности студентов (курсантов)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студентов (курсантов) иностранных образовательных организаций, прошедших обучение в образовательной организации по очной форме обучения по образовательным программам бакалавриата, программам специалитета, программам магистратуры, не менее семестра (триместра)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граждан из числа научно-педагогических работников в общей численности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граждан (кроме стран СНГ) из числа аспирантов (адъюнктов, ординаторов, интернов, ассистентов-стажеров) образовательной организации в общей численности аспирантов (адъюнктов, ординаторов, интернов, ассистентов-стажеров)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иностранных граждан стран СНГ из числа аспирантов (адъюнктов, ординаторов, интернов, ассистентов-стажеров) образовательной организации в общей численности аспирантов (адъюнктов, ординаторов, интернов, ассистентов-стажеров)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Объем средств, полученных образовательной организацией на выполнение НИОКР от иностранных граждан и иностранных юридических лиц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Объем средств от образовательной деятельности, полученных образовательной организацией от иностранных граждан и иностранных юридических лиц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Финансово-экономическая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из средств от приносящей доход деятельности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Отношение среднего заработка научно-педагогического работника в образовательной организации (по всем видам финансового обеспечения (деятельности)) к средней заработной плате по экономике региона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Инфраструктура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площадь помещений, в которых осуществляется образовательная деятельность, в расчете на одного студента (курсанта),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Имеющихся у образовательной организации на праве собственности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Закрепленных за образовательной организацией на праве оперативного управления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Предоставленных образовательной организации в аренду, безвозмездное пользование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компьютеров в расчете на одного студента (курсанта)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стоимости оборудования (не старше 5 лет) образовательной организации в общей стоимости оборудования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студента (курсанта)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укрупненных групп специальностей и направлений подготовки, обеспеченных электронными учебными изданиями (включая учебники и учебные пособия) в количестве не менее 20 изданий по основным областям знаний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5.6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студентов (курсантов), проживающих в общежитиях, в общей численности студентов (курсантов), нуждающихся в общежитиях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</w:tbl>
    <w:p>
      <w:pPr>
        <w:pStyle w:val="OEM"/>
        <w:widowControl w:val="false"/>
        <w:bidi w:val="0"/>
        <w:ind w:left="0" w:right="0" w:hanging="0"/>
        <w:jc w:val="left"/>
        <w:rPr/>
      </w:pPr>
      <w:r>
        <w:rPr/>
        <w:t>_____________________________</w:t>
      </w:r>
    </w:p>
    <w:p>
      <w:pPr>
        <w:pStyle w:val="Normal"/>
        <w:bidi w:val="0"/>
        <w:ind w:left="0" w:right="0" w:firstLine="720"/>
        <w:rPr/>
      </w:pPr>
      <w:r>
        <w:rPr/>
        <w:t>* Заполняется для каждого филиала отдельно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 № 5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ind w:left="0" w:right="0" w:hanging="0"/>
        <w:rPr/>
      </w:pPr>
      <w:r>
        <w:rPr/>
        <w:t>Показатели</w:t>
      </w:r>
      <w:r>
        <w:rPr/>
        <w:br/>
      </w:r>
      <w:r>
        <w:rPr/>
        <w:t>деятельности организации дополнительного образования, подлежащей самообследованию</w:t>
      </w:r>
      <w:r>
        <w:rPr/>
        <w:br/>
      </w:r>
      <w:r>
        <w:rPr/>
        <w:t>(утв. приказом Министерства образования и науки РФ от 10 декабря 2013 г. № 1324)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5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59"/>
        <w:gridCol w:w="2381"/>
      </w:tblGrid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Показатели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Образовательная деятельность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Детей дошкольного возраста (3-7 лет)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Детей младшего школьного возраста (7-11 лет)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Детей среднего школьного возраста (11-15 лет)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Детей старшего школьного возраста (15-17 лет)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 учащихся, обучающихся по образовательным программам по договорам об оказании платных образовательных услуг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занимающихся в 2-х и более объединениях (кружках, секциях, клубах),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 по образовательным программам для детей с выдающимися способностями,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 по образовательным программам, направленным на работу с детьми с особыми потребностями в образовании, в общей численности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Учащиеся с ограниченными возможностями здоровья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Дети-сироты, дети, оставшиеся без попечения родителей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Дети-мигранты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Дети, попавшие в трудную жизненную ситуацию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занимающихся учебно-исследовательской, проектной деятельностью,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принявших участие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муниципальном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региональном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межрегиональном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федеральном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международном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учащихся-победителей и призеров массовых мероприятий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муниципальном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региональном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межрегиональном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федеральном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международном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участвующих в образовательных и социальных проектах, в общей численности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Муниципального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Регионального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Межрегионального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Федерального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Международного уровня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муниципальном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региональном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межрегиональном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федеральном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 международном уровне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Общая численность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1.17.1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Высшая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1.17.2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Первая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1.18.1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 5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1.18.2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Свыше 30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работников,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специалистов, обеспечивающих методическую деятельность образовательной организации, в общей численности сотрудников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публикаций, подготовленных педагогическими работниками образовательной организации: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1.23.1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За 3 года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1.23.2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За отчетный период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в организации дополнительного образования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Инфраструктура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компьютеров в расчете на одного учащегося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помещений для осуществления образовательной деятельности,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Учебный класс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Лаборатория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Мастерская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Танцевальный класс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Спортивный зал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Бассейн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помещений для организации досуговой деятельности учащихся,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Актовый зал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Концертный зал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Игровое помещение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загородных оздоровительных лагерей, баз отдыха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Наличие читального зала библиотеки,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медиатекой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Оснащенного средствами сканирования и распознавания текстов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выходом в Интернет с компьютеров, расположенных в помещении библиотеки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 контролируемой распечаткой бумажных материалов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да/нет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</w:tbl>
    <w:p>
      <w:pPr>
        <w:pStyle w:val="Normal"/>
        <w:widowControl w:val="false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left="0" w:right="0" w:firstLine="720"/>
        <w:jc w:val="right"/>
        <w:rPr/>
      </w:pPr>
      <w:r>
        <w:rPr/>
        <w:t>Приложение № 6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p>
      <w:pPr>
        <w:pStyle w:val="1"/>
        <w:bidi w:val="0"/>
        <w:ind w:left="0" w:right="0" w:hanging="0"/>
        <w:rPr/>
      </w:pPr>
      <w:r>
        <w:rPr/>
        <w:t>Показатели</w:t>
      </w:r>
      <w:r>
        <w:rPr/>
        <w:br/>
      </w:r>
      <w:r>
        <w:rPr/>
        <w:t>деятельности организации дополнительного профессионального образования, подлежащей самообследованию</w:t>
      </w:r>
      <w:r>
        <w:rPr/>
        <w:br/>
      </w:r>
      <w:r>
        <w:rPr/>
        <w:t>(утв. приказом Министерства образования и науки РФ от 10 декабря 2013 г. № 1324)</w:t>
      </w:r>
    </w:p>
    <w:p>
      <w:pPr>
        <w:pStyle w:val="Normal"/>
        <w:bidi w:val="0"/>
        <w:ind w:left="0" w:right="0" w:firstLine="720"/>
        <w:rPr>
          <w:rFonts w:ascii="Times New Roman" w:hAnsi="Times New Roman"/>
        </w:rPr>
      </w:pPr>
      <w:r>
        <w:rPr/>
      </w:r>
    </w:p>
    <w:tbl>
      <w:tblPr>
        <w:tblW w:w="152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1759"/>
        <w:gridCol w:w="2381"/>
      </w:tblGrid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Показатели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Единица измерения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1.</w:t>
            </w:r>
          </w:p>
        </w:tc>
        <w:tc>
          <w:tcPr>
            <w:tcW w:w="1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Образовательная деятельность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слушателей, обучившихся по дополнительным профессиональным программам повышения квалификации, в общей численности слушателей, прошедших обучение в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слушателей, обучившихся по дополнительным профессиональным программам профессиональной переподготовки, в общей численности слушателей, прошедших обучение в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слушателей, направленных на обучение службами занятости, в общей численности слушателей, прошедших обучение в образовательной организации за отчетный период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реализуемых дополнительных профессиональных программ,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Программ повышения квалификации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1.4.2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Программ профессиональной переподготовки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разработанных дополнительных профессиональных программ за отчетный период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Программ повышения квалификации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1.5.2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Программ профессиональной переподготовки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дополнительных профессиональных программ по приоритетным направлениям развития науки, техники и технологий в общем количестве реализуемых дополнительных профессиональных программ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дополнительных профессиональных программ, прошедших профессионально-общественную аккредитацию, в общем количестве реализуемых дополнительных профессиональных программ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работников, имеющих ученые степени и (или) ученые звания, в общей численности научно-педагогических работников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работников, прошедших за отчетный период повышение квалификации или профессиональную переподготовку, в общей численности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Высшая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1.10.2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Первая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Средний возраст штатных научно-педагогических работников организации дополнительного профессионального образования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лет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1.12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Результативность выполнения образовательной организацией государственного задания в части реализации дополнительных профессиональных программ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2.</w:t>
            </w:r>
          </w:p>
        </w:tc>
        <w:tc>
          <w:tcPr>
            <w:tcW w:w="1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Научно-исследовательская деятельность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2.1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/>
            </w:pPr>
            <w:r>
              <w:rPr/>
              <w:t>Количество цитирований в индексируемой системе цитирования Web of Science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цитирований в индексируемой системе цитирования Scopus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цитирований в РИНЦ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статей в научной периодике, индексируемой в системе цитирования Web of Science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статей в научной периодике, индексируемой в системе цитирования Scopus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2.6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публикаций в РИНЦ в расчете на 100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2.7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Общий объем НИОКР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2.8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Объем НИОКР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2.9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доходов от НИОКР в общих доходах образовательной организации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2.10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Удельный вес НИОКР, выполненных собственными силами (без привлечения соисполнителей), в общих доходах образовательной организации от НИОКР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подготовленных печатных учебных изданий (включая учебники и учебные пособия), методических и периодических изданий, количество изданных за отчетный период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проведенных международных и всероссийских (межрегиональных) научных семинаров и конференций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подготовленных научных и научно-педагогических кадров высшей квалификации за отчетный период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человек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научно-педагогических работников без ученой степени - до 30 лет, кандидатов наук - до 35 лет, докторов наук - до 40 лет, в общей численности научно-педагогических работников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чел./%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2.15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Число научных журналов, в том числе электронных, издаваемых образовательной организацией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3.</w:t>
            </w:r>
          </w:p>
        </w:tc>
        <w:tc>
          <w:tcPr>
            <w:tcW w:w="1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Финансово-экономическая деятельность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3.1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по всем видам финансового обеспечения (деятельности)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по всем видам финансового обеспечения (деятельности)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3.3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Доходы образовательной организации из средств от приносящей доход деятельности в расчете на одного научно-педагогического работника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тыс. руб.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4.</w:t>
            </w:r>
          </w:p>
        </w:tc>
        <w:tc>
          <w:tcPr>
            <w:tcW w:w="1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Инфраструктура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4.1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left"/>
              <w:rPr/>
            </w:pPr>
            <w:r>
              <w:rPr/>
              <w:t>Общая площадь помещений, в которых осуществляется образовательная деятельность, в расчете на одного слушателя, в том числе: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кв. 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4.1.1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Имеющихся у образовательной организации на праве собственности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 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4.1.2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Закрепленных за образовательной организацией на праве оперативного управления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 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4.1.3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Предоставленных образовательной организации в аренду, безвозмездное пользование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кв. м.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4.2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экземпляров печатных учебных изданий (включая учебники и учебные пособия) из общего количества единиц хранения библиотечного фонда, состоящих на учете, в расчете на одного слушателя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4.3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Количество электронных учебных изданий (включая учебники и учебные пособия)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единиц</w:t>
            </w:r>
          </w:p>
        </w:tc>
      </w:tr>
      <w:tr>
        <w:trPr/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4.4</w:t>
            </w:r>
          </w:p>
        </w:tc>
        <w:tc>
          <w:tcPr>
            <w:tcW w:w="1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left"/>
              <w:rPr/>
            </w:pPr>
            <w:r>
              <w:rPr/>
              <w:t>Численность/удельный вес численности слушателей, проживающих в общежитиях, в общей численности слушателей, нуждающихся в общежитиях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55"/>
              <w:widowControl w:val="false"/>
              <w:bidi w:val="0"/>
              <w:ind w:left="0" w:right="0" w:hanging="0"/>
              <w:jc w:val="center"/>
              <w:rPr/>
            </w:pPr>
            <w:r>
              <w:rPr/>
              <w:t>%</w:t>
            </w:r>
          </w:p>
        </w:tc>
      </w:tr>
    </w:tbl>
    <w:p>
      <w:pPr>
        <w:sectPr>
          <w:type w:val="nextPage"/>
          <w:pgSz w:orient="landscape" w:w="16838" w:h="11906"/>
          <w:pgMar w:left="850" w:right="850" w:gutter="0" w:header="0" w:top="1440" w:footer="0" w:bottom="144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widowControl w:val="false"/>
        <w:bidi w:val="0"/>
        <w:ind w:left="0" w:right="0" w:firstLine="720"/>
        <w:rPr/>
      </w:pPr>
      <w:r>
        <w:rPr/>
      </w:r>
    </w:p>
    <w:sectPr>
      <w:type w:val="nextPage"/>
      <w:pgSz w:w="11906" w:h="16838"/>
      <w:pgMar w:left="850" w:right="85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720"/>
      <w:jc w:val="both"/>
      <w:textAlignment w:val="auto"/>
    </w:pPr>
    <w:rPr>
      <w:rFonts w:ascii="Times New Roman" w:hAnsi="Times New Roman" w:eastAsia="Courier New" w:cs="Times New Roman"/>
      <w:color w:val="auto"/>
      <w:kern w:val="2"/>
      <w:sz w:val="24"/>
      <w:szCs w:val="24"/>
      <w:lang w:val="ru-RU" w:eastAsia="ru-RU" w:bidi="hi-IN"/>
    </w:rPr>
  </w:style>
  <w:style w:type="paragraph" w:styleId="1">
    <w:name w:val="Heading 1"/>
    <w:basedOn w:val="Normal"/>
    <w:next w:val="Normal"/>
    <w:qFormat/>
    <w:pPr>
      <w:spacing w:before="75" w:after="0"/>
      <w:ind w:hanging="0"/>
      <w:jc w:val="center"/>
      <w:outlineLvl w:val="0"/>
    </w:pPr>
    <w:rPr>
      <w:b/>
      <w:u w:val="single"/>
    </w:rPr>
  </w:style>
  <w:style w:type="paragraph" w:styleId="2">
    <w:name w:val="Heading 2"/>
    <w:basedOn w:val="1"/>
    <w:next w:val="Normal"/>
    <w:qFormat/>
    <w:pPr>
      <w:spacing w:before="75" w:after="0"/>
      <w:ind w:hanging="0"/>
      <w:jc w:val="center"/>
      <w:outlineLvl w:val="1"/>
    </w:pPr>
    <w:rPr>
      <w:b/>
      <w:i/>
      <w:u w:val="single"/>
    </w:rPr>
  </w:style>
  <w:style w:type="paragraph" w:styleId="3">
    <w:name w:val="Heading 3"/>
    <w:basedOn w:val="2"/>
    <w:next w:val="Normal"/>
    <w:qFormat/>
    <w:pPr>
      <w:spacing w:before="75" w:after="0"/>
      <w:ind w:hanging="0"/>
      <w:jc w:val="center"/>
      <w:outlineLvl w:val="2"/>
    </w:pPr>
    <w:rPr>
      <w:b/>
      <w:sz w:val="20"/>
      <w:u w:val="single"/>
    </w:rPr>
  </w:style>
  <w:style w:type="paragraph" w:styleId="4">
    <w:name w:val="Heading 4"/>
    <w:basedOn w:val="3"/>
    <w:next w:val="Normal"/>
    <w:qFormat/>
    <w:pPr>
      <w:spacing w:before="75" w:after="0"/>
      <w:ind w:hanging="0"/>
      <w:jc w:val="center"/>
      <w:outlineLvl w:val="3"/>
    </w:pPr>
    <w:rPr>
      <w:b/>
      <w:i/>
      <w:sz w:val="20"/>
      <w:u w:val="single"/>
    </w:rPr>
  </w:style>
  <w:style w:type="character" w:styleId="DefaultParagraphFont">
    <w:name w:val="Default Paragraph Font"/>
    <w:qFormat/>
    <w:rPr/>
  </w:style>
  <w:style w:type="character" w:styleId="Style10">
    <w:name w:val="Цветовое выделение"/>
    <w:qFormat/>
    <w:rPr>
      <w:color w:val="0000FF"/>
    </w:rPr>
  </w:style>
  <w:style w:type="character" w:styleId="Style11">
    <w:name w:val="Гипертекстовая ссылка"/>
    <w:basedOn w:val="Style10"/>
    <w:qFormat/>
    <w:rPr>
      <w:color w:val="008000"/>
    </w:rPr>
  </w:style>
  <w:style w:type="character" w:styleId="Style12">
    <w:name w:val="Активная гиперссылка"/>
    <w:basedOn w:val="Style11"/>
    <w:qFormat/>
    <w:rPr>
      <w:color w:val="008000"/>
      <w:u w:val="single"/>
    </w:rPr>
  </w:style>
  <w:style w:type="character" w:styleId="Style13">
    <w:name w:val="Выделение для Базового Поиска"/>
    <w:basedOn w:val="Style10"/>
    <w:qFormat/>
    <w:rPr>
      <w:color w:val="auto"/>
    </w:rPr>
  </w:style>
  <w:style w:type="character" w:styleId="Style14">
    <w:name w:val="Выделение для Базового Поиска (курсив)"/>
    <w:basedOn w:val="Style13"/>
    <w:qFormat/>
    <w:rPr>
      <w:i/>
      <w:color w:val="auto"/>
    </w:rPr>
  </w:style>
  <w:style w:type="character" w:styleId="Style15">
    <w:name w:val="Найденные слова"/>
    <w:basedOn w:val="Style10"/>
    <w:qFormat/>
    <w:rPr>
      <w:b/>
      <w:color w:val="FFFFFF"/>
      <w:shd w:fill="FF0000" w:val="clear"/>
    </w:rPr>
  </w:style>
  <w:style w:type="character" w:styleId="Style16">
    <w:name w:val="Утратил силу"/>
    <w:basedOn w:val="Style10"/>
    <w:qFormat/>
    <w:rPr>
      <w:color w:val="808000"/>
    </w:rPr>
  </w:style>
  <w:style w:type="character" w:styleId="Style17">
    <w:name w:val="Не вступил в силу"/>
    <w:basedOn w:val="Style16"/>
    <w:qFormat/>
    <w:rPr>
      <w:color w:val="008080"/>
    </w:rPr>
  </w:style>
  <w:style w:type="character" w:styleId="Style18">
    <w:name w:val="Опечатки"/>
    <w:qFormat/>
    <w:rPr>
      <w:color w:val="FF0000"/>
    </w:rPr>
  </w:style>
  <w:style w:type="character" w:styleId="Style19">
    <w:name w:val="Продолжение ссылки"/>
    <w:basedOn w:val="Style11"/>
    <w:qFormat/>
    <w:rPr>
      <w:color w:val="008000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Table">
    <w:name w:val="Normal Table"/>
    <w:qFormat/>
    <w:pPr>
      <w:widowControl/>
      <w:bidi w:val="0"/>
      <w:jc w:val="left"/>
      <w:textAlignment w:val="auto"/>
    </w:pPr>
    <w:rPr>
      <w:rFonts w:ascii="Times New Roman" w:hAnsi="Times New Roman" w:eastAsia="Courier New" w:cs="Times New Roman"/>
      <w:color w:val="auto"/>
      <w:kern w:val="2"/>
      <w:sz w:val="20"/>
      <w:szCs w:val="24"/>
      <w:lang w:val="ru-RU" w:eastAsia="ru-RU" w:bidi="hi-IN"/>
    </w:rPr>
  </w:style>
  <w:style w:type="paragraph" w:styleId="Style25">
    <w:name w:val="Внимание"/>
    <w:basedOn w:val="Normal"/>
    <w:next w:val="Normal"/>
    <w:qFormat/>
    <w:pPr>
      <w:spacing w:before="240" w:after="240"/>
      <w:ind w:left="420" w:right="420" w:firstLine="300"/>
    </w:pPr>
    <w:rPr>
      <w:shd w:fill="F5F3DA" w:val="clear"/>
    </w:rPr>
  </w:style>
  <w:style w:type="paragraph" w:styleId="Style26">
    <w:name w:val="Внимание: криминал!!"/>
    <w:basedOn w:val="Normal"/>
    <w:next w:val="Normal"/>
    <w:qFormat/>
    <w:pPr>
      <w:ind w:firstLine="720"/>
    </w:pPr>
    <w:rPr/>
  </w:style>
  <w:style w:type="paragraph" w:styleId="Style27">
    <w:name w:val="Внимание: недобросовестность!"/>
    <w:basedOn w:val="Normal"/>
    <w:next w:val="Normal"/>
    <w:qFormat/>
    <w:pPr>
      <w:ind w:firstLine="720"/>
    </w:pPr>
    <w:rPr/>
  </w:style>
  <w:style w:type="paragraph" w:styleId="Style28">
    <w:name w:val="Заголовок группы контролов"/>
    <w:basedOn w:val="Normal"/>
    <w:next w:val="Normal"/>
    <w:qFormat/>
    <w:pPr>
      <w:ind w:firstLine="720"/>
    </w:pPr>
    <w:rPr>
      <w:b/>
      <w:color w:val="000000"/>
    </w:rPr>
  </w:style>
  <w:style w:type="paragraph" w:styleId="Style29">
    <w:name w:val="Заголовок для информации об изменениях"/>
    <w:basedOn w:val="1"/>
    <w:next w:val="Normal"/>
    <w:qFormat/>
    <w:pPr>
      <w:ind w:hanging="0"/>
      <w:jc w:val="center"/>
    </w:pPr>
    <w:rPr>
      <w:b/>
      <w:u w:val="single"/>
      <w:shd w:fill="FFFFFF" w:val="clear"/>
    </w:rPr>
  </w:style>
  <w:style w:type="paragraph" w:styleId="Style30">
    <w:name w:val="Заголовок распахивающейся части диалога"/>
    <w:basedOn w:val="Normal"/>
    <w:next w:val="Normal"/>
    <w:qFormat/>
    <w:pPr>
      <w:ind w:firstLine="720"/>
    </w:pPr>
    <w:rPr>
      <w:i/>
      <w:color w:val="000080"/>
    </w:rPr>
  </w:style>
  <w:style w:type="paragraph" w:styleId="Style31">
    <w:name w:val="Заголовок статьи"/>
    <w:basedOn w:val="Normal"/>
    <w:next w:val="Normal"/>
    <w:qFormat/>
    <w:pPr>
      <w:ind w:left="2321" w:hanging="1601"/>
    </w:pPr>
    <w:rPr/>
  </w:style>
  <w:style w:type="paragraph" w:styleId="Style32">
    <w:name w:val="Заголовок ЭР (левое окно)"/>
    <w:basedOn w:val="Normal"/>
    <w:next w:val="Normal"/>
    <w:qFormat/>
    <w:pPr>
      <w:spacing w:before="300" w:after="250"/>
      <w:ind w:hanging="0"/>
      <w:jc w:val="center"/>
    </w:pPr>
    <w:rPr>
      <w:b/>
      <w:color w:val="26282F"/>
      <w:sz w:val="28"/>
    </w:rPr>
  </w:style>
  <w:style w:type="paragraph" w:styleId="Style33">
    <w:name w:val="Заголовок ЭР (правое окно)"/>
    <w:basedOn w:val="Style32"/>
    <w:next w:val="Normal"/>
    <w:qFormat/>
    <w:pPr>
      <w:spacing w:before="300" w:after="250"/>
      <w:ind w:hanging="0"/>
      <w:jc w:val="left"/>
    </w:pPr>
    <w:rPr>
      <w:b/>
      <w:color w:val="26282F"/>
      <w:sz w:val="28"/>
    </w:rPr>
  </w:style>
  <w:style w:type="paragraph" w:styleId="Style34">
    <w:name w:val="Нормальный (справка)"/>
    <w:basedOn w:val="Normal"/>
    <w:next w:val="Normal"/>
    <w:qFormat/>
    <w:pPr>
      <w:ind w:left="118" w:right="118" w:hanging="0"/>
      <w:jc w:val="left"/>
    </w:pPr>
    <w:rPr/>
  </w:style>
  <w:style w:type="paragraph" w:styleId="Style35">
    <w:name w:val="Комментарий"/>
    <w:basedOn w:val="Style34"/>
    <w:next w:val="Normal"/>
    <w:qFormat/>
    <w:pPr>
      <w:spacing w:before="75" w:after="0"/>
      <w:ind w:left="118" w:right="118" w:hanging="0"/>
    </w:pPr>
    <w:rPr>
      <w:i/>
      <w:vanish/>
      <w:color w:val="800080"/>
      <w:shd w:fill="C0C0C0" w:val="clear"/>
    </w:rPr>
  </w:style>
  <w:style w:type="paragraph" w:styleId="Style36">
    <w:name w:val="Информация о версии"/>
    <w:basedOn w:val="Style35"/>
    <w:next w:val="Normal"/>
    <w:qFormat/>
    <w:pPr>
      <w:spacing w:before="75" w:after="0"/>
      <w:ind w:left="118" w:right="118" w:hanging="0"/>
    </w:pPr>
    <w:rPr>
      <w:i/>
      <w:vanish/>
      <w:color w:val="000080"/>
      <w:shd w:fill="C0C0C0" w:val="clear"/>
    </w:rPr>
  </w:style>
  <w:style w:type="paragraph" w:styleId="Style37">
    <w:name w:val="Текст информации об изменениях"/>
    <w:basedOn w:val="Normal"/>
    <w:next w:val="Normal"/>
    <w:qFormat/>
    <w:pPr>
      <w:ind w:firstLine="720"/>
    </w:pPr>
    <w:rPr>
      <w:sz w:val="20"/>
    </w:rPr>
  </w:style>
  <w:style w:type="paragraph" w:styleId="Style38">
    <w:name w:val="Информация об изменениях"/>
    <w:basedOn w:val="Style37"/>
    <w:next w:val="Normal"/>
    <w:qFormat/>
    <w:pPr>
      <w:spacing w:before="180" w:after="0"/>
      <w:ind w:left="360" w:right="360" w:hanging="0"/>
    </w:pPr>
    <w:rPr>
      <w:sz w:val="20"/>
      <w:shd w:fill="EDEFF3" w:val="clear"/>
    </w:rPr>
  </w:style>
  <w:style w:type="paragraph" w:styleId="Style39">
    <w:name w:val="Нормальный (таблица)"/>
    <w:basedOn w:val="Normal"/>
    <w:next w:val="Normal"/>
    <w:qFormat/>
    <w:pPr>
      <w:ind w:hanging="0"/>
    </w:pPr>
    <w:rPr/>
  </w:style>
  <w:style w:type="paragraph" w:styleId="Style40">
    <w:name w:val="Нормальный (лев. подпись)"/>
    <w:basedOn w:val="Style39"/>
    <w:next w:val="Normal"/>
    <w:qFormat/>
    <w:pPr>
      <w:ind w:hanging="0"/>
      <w:jc w:val="left"/>
    </w:pPr>
    <w:rPr/>
  </w:style>
  <w:style w:type="paragraph" w:styleId="Style41">
    <w:name w:val="Колонтитул (левый)"/>
    <w:basedOn w:val="Style40"/>
    <w:next w:val="Normal"/>
    <w:qFormat/>
    <w:pPr>
      <w:ind w:hanging="0"/>
      <w:jc w:val="left"/>
    </w:pPr>
    <w:rPr>
      <w:sz w:val="12"/>
    </w:rPr>
  </w:style>
  <w:style w:type="paragraph" w:styleId="Style42">
    <w:name w:val="Нормальный (прав. подпись)"/>
    <w:basedOn w:val="Style39"/>
    <w:next w:val="Normal"/>
    <w:qFormat/>
    <w:pPr>
      <w:ind w:hanging="0"/>
      <w:jc w:val="right"/>
    </w:pPr>
    <w:rPr/>
  </w:style>
  <w:style w:type="paragraph" w:styleId="Style43">
    <w:name w:val="Колонтитул (правый)"/>
    <w:basedOn w:val="Style42"/>
    <w:next w:val="Normal"/>
    <w:qFormat/>
    <w:pPr>
      <w:ind w:hanging="0"/>
      <w:jc w:val="right"/>
    </w:pPr>
    <w:rPr>
      <w:sz w:val="12"/>
    </w:rPr>
  </w:style>
  <w:style w:type="paragraph" w:styleId="Style44">
    <w:name w:val="Комментарий пользователя"/>
    <w:basedOn w:val="Style35"/>
    <w:next w:val="Normal"/>
    <w:qFormat/>
    <w:pPr>
      <w:spacing w:before="75" w:after="0"/>
      <w:ind w:left="118" w:right="118" w:hanging="0"/>
      <w:jc w:val="left"/>
    </w:pPr>
    <w:rPr>
      <w:i/>
      <w:vanish/>
      <w:color w:val="000000"/>
      <w:shd w:fill="C0C0C0" w:val="clear"/>
    </w:rPr>
  </w:style>
  <w:style w:type="paragraph" w:styleId="Style45">
    <w:name w:val="Куда обратиться?"/>
    <w:basedOn w:val="Normal"/>
    <w:next w:val="Normal"/>
    <w:qFormat/>
    <w:pPr>
      <w:ind w:firstLine="720"/>
    </w:pPr>
    <w:rPr/>
  </w:style>
  <w:style w:type="paragraph" w:styleId="Style46">
    <w:name w:val="Моноширинный"/>
    <w:basedOn w:val="Normal"/>
    <w:next w:val="Normal"/>
    <w:qFormat/>
    <w:pPr>
      <w:ind w:hanging="0"/>
      <w:jc w:val="left"/>
    </w:pPr>
    <w:rPr>
      <w:rFonts w:ascii="Courier New" w:hAnsi="Courier New"/>
    </w:rPr>
  </w:style>
  <w:style w:type="paragraph" w:styleId="Style47">
    <w:name w:val="Напишите нам"/>
    <w:basedOn w:val="Normal"/>
    <w:next w:val="Normal"/>
    <w:qFormat/>
    <w:pPr>
      <w:spacing w:before="90" w:after="90"/>
      <w:ind w:left="180" w:right="180" w:hanging="0"/>
    </w:pPr>
    <w:rPr>
      <w:sz w:val="20"/>
      <w:shd w:fill="EFFFAD" w:val="clear"/>
    </w:rPr>
  </w:style>
  <w:style w:type="paragraph" w:styleId="Style48">
    <w:name w:val="Необходимые документы"/>
    <w:basedOn w:val="Normal"/>
    <w:next w:val="Normal"/>
    <w:qFormat/>
    <w:pPr>
      <w:ind w:left="118" w:hanging="0"/>
    </w:pPr>
    <w:rPr/>
  </w:style>
  <w:style w:type="paragraph" w:styleId="OEM">
    <w:name w:val="Нормальный (OEM)"/>
    <w:basedOn w:val="Style46"/>
    <w:next w:val="Normal"/>
    <w:qFormat/>
    <w:pPr>
      <w:ind w:hanging="0"/>
      <w:jc w:val="left"/>
    </w:pPr>
    <w:rPr>
      <w:rFonts w:ascii="Courier New" w:hAnsi="Courier New"/>
    </w:rPr>
  </w:style>
  <w:style w:type="paragraph" w:styleId="Style49">
    <w:name w:val="Нормальный (аннотация)"/>
    <w:basedOn w:val="Normal"/>
    <w:next w:val="Normal"/>
    <w:qFormat/>
    <w:pPr>
      <w:ind w:firstLine="720"/>
    </w:pPr>
    <w:rPr/>
  </w:style>
  <w:style w:type="paragraph" w:styleId="Style50">
    <w:name w:val="Объект"/>
    <w:basedOn w:val="Normal"/>
    <w:next w:val="Normal"/>
    <w:qFormat/>
    <w:pPr>
      <w:ind w:firstLine="720"/>
    </w:pPr>
    <w:rPr/>
  </w:style>
  <w:style w:type="paragraph" w:styleId="Style51">
    <w:name w:val="Оглавление"/>
    <w:basedOn w:val="Style46"/>
    <w:next w:val="Normal"/>
    <w:qFormat/>
    <w:pPr>
      <w:ind w:hanging="0"/>
      <w:jc w:val="left"/>
    </w:pPr>
    <w:rPr>
      <w:rFonts w:ascii="Courier New" w:hAnsi="Courier New"/>
      <w:vanish/>
      <w:shd w:fill="C0C0C0" w:val="clear"/>
    </w:rPr>
  </w:style>
  <w:style w:type="paragraph" w:styleId="Style52">
    <w:name w:val="Подвал для информации об изменениях"/>
    <w:basedOn w:val="1"/>
    <w:next w:val="Normal"/>
    <w:qFormat/>
    <w:pPr>
      <w:spacing w:before="75" w:after="0"/>
      <w:ind w:hanging="0"/>
      <w:jc w:val="center"/>
    </w:pPr>
    <w:rPr>
      <w:sz w:val="20"/>
      <w:u w:val="single"/>
    </w:rPr>
  </w:style>
  <w:style w:type="paragraph" w:styleId="Style53">
    <w:name w:val="Подзаголовок для информации об изменениях"/>
    <w:basedOn w:val="Style37"/>
    <w:next w:val="Normal"/>
    <w:qFormat/>
    <w:pPr>
      <w:ind w:firstLine="720"/>
    </w:pPr>
    <w:rPr>
      <w:b/>
      <w:color w:val="000080"/>
      <w:sz w:val="20"/>
    </w:rPr>
  </w:style>
  <w:style w:type="paragraph" w:styleId="Style54">
    <w:name w:val="Подчёркнуный текст"/>
    <w:basedOn w:val="Normal"/>
    <w:next w:val="Normal"/>
    <w:qFormat/>
    <w:pPr>
      <w:pBdr>
        <w:bottom w:val="single" w:sz="4" w:space="0" w:color="000000"/>
      </w:pBdr>
      <w:ind w:firstLine="720"/>
    </w:pPr>
    <w:rPr/>
  </w:style>
  <w:style w:type="paragraph" w:styleId="Style55">
    <w:name w:val="Прижатый влево"/>
    <w:basedOn w:val="Normal"/>
    <w:next w:val="Normal"/>
    <w:qFormat/>
    <w:pPr>
      <w:ind w:hanging="0"/>
      <w:jc w:val="left"/>
    </w:pPr>
    <w:rPr/>
  </w:style>
  <w:style w:type="paragraph" w:styleId="Style56">
    <w:name w:val="Пример."/>
    <w:basedOn w:val="Normal"/>
    <w:next w:val="Normal"/>
    <w:qFormat/>
    <w:pPr>
      <w:ind w:left="118" w:firstLine="602"/>
    </w:pPr>
    <w:rPr/>
  </w:style>
  <w:style w:type="paragraph" w:styleId="Style57">
    <w:name w:val="Примечание."/>
    <w:basedOn w:val="Style35"/>
    <w:next w:val="Normal"/>
    <w:qFormat/>
    <w:pPr>
      <w:spacing w:before="75" w:after="0"/>
      <w:ind w:left="118" w:right="118" w:hanging="0"/>
    </w:pPr>
    <w:rPr>
      <w:i/>
      <w:vanish/>
      <w:color w:val="800080"/>
      <w:shd w:fill="C0C0C0" w:val="clear"/>
    </w:rPr>
  </w:style>
  <w:style w:type="paragraph" w:styleId="Style58">
    <w:name w:val="Словарная статья"/>
    <w:basedOn w:val="Normal"/>
    <w:next w:val="Normal"/>
    <w:qFormat/>
    <w:pPr>
      <w:ind w:right="118" w:hanging="0"/>
    </w:pPr>
    <w:rPr/>
  </w:style>
  <w:style w:type="paragraph" w:styleId="Style59">
    <w:name w:val="Ссылка на официальную публикацию"/>
    <w:basedOn w:val="Normal"/>
    <w:next w:val="Normal"/>
    <w:qFormat/>
    <w:pPr>
      <w:ind w:firstLine="720"/>
    </w:pPr>
    <w:rPr/>
  </w:style>
  <w:style w:type="paragraph" w:styleId="Style60">
    <w:name w:val="Текст в таблице"/>
    <w:basedOn w:val="Style39"/>
    <w:next w:val="Normal"/>
    <w:qFormat/>
    <w:pPr>
      <w:ind w:firstLine="720"/>
    </w:pPr>
    <w:rPr/>
  </w:style>
  <w:style w:type="paragraph" w:styleId="Style61">
    <w:name w:val="Текст ЭР (см. также)"/>
    <w:basedOn w:val="Normal"/>
    <w:next w:val="Normal"/>
    <w:qFormat/>
    <w:pPr>
      <w:spacing w:before="200" w:after="0"/>
      <w:ind w:hanging="0"/>
      <w:jc w:val="left"/>
    </w:pPr>
    <w:rPr>
      <w:sz w:val="22"/>
    </w:rPr>
  </w:style>
  <w:style w:type="paragraph" w:styleId="Style62">
    <w:name w:val="Технический комментарий"/>
    <w:basedOn w:val="Normal"/>
    <w:next w:val="Normal"/>
    <w:qFormat/>
    <w:pPr>
      <w:ind w:hanging="0"/>
      <w:jc w:val="left"/>
    </w:pPr>
    <w:rPr>
      <w:shd w:fill="FFFF00" w:val="clear"/>
    </w:rPr>
  </w:style>
  <w:style w:type="paragraph" w:styleId="Style63">
    <w:name w:val="Формула"/>
    <w:basedOn w:val="Normal"/>
    <w:next w:val="Normal"/>
    <w:qFormat/>
    <w:pPr>
      <w:spacing w:before="240" w:after="240"/>
      <w:ind w:left="420" w:right="420" w:firstLine="300"/>
    </w:pPr>
    <w:rPr>
      <w:shd w:fill="F5F3DA" w:val="clear"/>
    </w:rPr>
  </w:style>
  <w:style w:type="paragraph" w:styleId="Style64">
    <w:name w:val="Центрированный (таблица)"/>
    <w:basedOn w:val="Style39"/>
    <w:next w:val="Normal"/>
    <w:qFormat/>
    <w:pPr>
      <w:ind w:hanging="0"/>
      <w:jc w:val="center"/>
    </w:pPr>
    <w:rPr/>
  </w:style>
  <w:style w:type="paragraph" w:styleId="Style65">
    <w:name w:val="ЭР-содержание (правое окно)"/>
    <w:basedOn w:val="Normal"/>
    <w:next w:val="Normal"/>
    <w:qFormat/>
    <w:pPr>
      <w:spacing w:before="300" w:after="0"/>
      <w:ind w:hanging="0"/>
      <w:jc w:val="left"/>
    </w:pPr>
    <w:rPr>
      <w:sz w:val="2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39</Pages>
  <Words>4723</Words>
  <Characters>36850</Characters>
  <CharactersWithSpaces>40545</CharactersWithSpaces>
  <Paragraphs>1028</Paragraphs>
  <Company>НПП "Гарант-Сервис"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2014-02-04T16:48:00Z</dcterms:created>
  <dc:creator>НПП "Гарант-Сервис"</dc:creator>
  <dc:description>Документ экспортирован из системы ГАРАНТ</dc:description>
  <dc:language>ru-RU</dc:language>
  <cp:lastModifiedBy/>
  <dcterms:modified xsi:type="dcterms:W3CDTF">2014-02-04T16:48:00Z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pavlova_zinaida</vt:lpwstr>
  </property>
</Properties>
</file>